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0" w:firstLineChars="0"/>
        <w:jc w:val="center"/>
        <w:rPr>
          <w:rFonts w:ascii="华文楷体" w:hAnsi="华文楷体" w:eastAsia="华文楷体" w:cs="华文楷体"/>
          <w:b/>
          <w:bCs/>
          <w:sz w:val="48"/>
          <w:szCs w:val="36"/>
          <w:highlight w:val="red"/>
        </w:rPr>
      </w:pPr>
      <w:r>
        <w:rPr>
          <w:rFonts w:hint="eastAsia" w:ascii="华文楷体" w:hAnsi="华文楷体" w:eastAsia="华文楷体" w:cs="华文楷体"/>
          <w:b/>
          <w:bCs/>
          <w:sz w:val="48"/>
          <w:szCs w:val="36"/>
          <w:highlight w:val="red"/>
        </w:rPr>
        <w:t>采购代理服务费收取通知及注意事项</w:t>
      </w:r>
    </w:p>
    <w:p>
      <w:pPr>
        <w:spacing w:line="240" w:lineRule="auto"/>
        <w:ind w:firstLine="561"/>
        <w:jc w:val="left"/>
        <w:rPr>
          <w:rFonts w:ascii="华文楷体" w:hAnsi="华文楷体" w:eastAsia="华文楷体" w:cs="华文楷体"/>
          <w:b/>
          <w:bCs/>
          <w:sz w:val="28"/>
          <w:szCs w:val="28"/>
        </w:rPr>
      </w:pPr>
      <w:r>
        <w:rPr>
          <w:rFonts w:hint="eastAsia" w:ascii="华文楷体" w:hAnsi="华文楷体" w:eastAsia="华文楷体" w:cs="华文楷体"/>
          <w:b/>
          <w:bCs/>
          <w:sz w:val="28"/>
          <w:szCs w:val="28"/>
        </w:rPr>
        <w:t>本项目为采购代理项目，收取服务费，收取标准如下：</w:t>
      </w:r>
    </w:p>
    <w:p>
      <w:pPr>
        <w:numPr>
          <w:ilvl w:val="0"/>
          <w:numId w:val="1"/>
        </w:numPr>
        <w:spacing w:line="240" w:lineRule="auto"/>
        <w:ind w:firstLine="561"/>
        <w:jc w:val="left"/>
        <w:rPr>
          <w:rFonts w:ascii="华文楷体" w:hAnsi="华文楷体" w:eastAsia="华文楷体" w:cs="华文楷体"/>
          <w:b/>
          <w:bCs/>
          <w:sz w:val="28"/>
          <w:szCs w:val="28"/>
        </w:rPr>
      </w:pPr>
      <w:r>
        <w:rPr>
          <w:rFonts w:ascii="华文楷体" w:hAnsi="华文楷体" w:eastAsia="华文楷体" w:cs="华文楷体"/>
          <w:b/>
          <w:bCs/>
          <w:sz w:val="28"/>
          <w:szCs w:val="28"/>
        </w:rPr>
        <w:t>成交金额工程30000元（含30000元）、货物</w:t>
      </w:r>
      <w:r>
        <w:rPr>
          <w:rFonts w:hint="eastAsia" w:ascii="华文楷体" w:hAnsi="华文楷体" w:eastAsia="华文楷体" w:cs="华文楷体"/>
          <w:b/>
          <w:bCs/>
          <w:sz w:val="28"/>
          <w:szCs w:val="28"/>
        </w:rPr>
        <w:t>及</w:t>
      </w:r>
      <w:r>
        <w:rPr>
          <w:rFonts w:ascii="华文楷体" w:hAnsi="华文楷体" w:eastAsia="华文楷体" w:cs="华文楷体"/>
          <w:b/>
          <w:bCs/>
          <w:sz w:val="28"/>
          <w:szCs w:val="28"/>
        </w:rPr>
        <w:t>服务20000元（含20000元）以下免费</w:t>
      </w:r>
      <w:r>
        <w:rPr>
          <w:rFonts w:hint="eastAsia" w:ascii="华文楷体" w:hAnsi="华文楷体" w:eastAsia="华文楷体" w:cs="华文楷体"/>
          <w:b/>
          <w:bCs/>
          <w:sz w:val="28"/>
          <w:szCs w:val="28"/>
        </w:rPr>
        <w:t>，无需缴纳服务费，若因自身原因多缴、误汇等，不予办理退还。</w:t>
      </w:r>
    </w:p>
    <w:p>
      <w:pPr>
        <w:ind w:firstLine="0" w:firstLineChars="0"/>
        <w:jc w:val="center"/>
        <w:rPr>
          <w:rFonts w:ascii="黑体" w:hAnsi="黑体" w:eastAsia="黑体"/>
          <w:szCs w:val="24"/>
        </w:rPr>
      </w:pPr>
      <w:r>
        <w:rPr>
          <w:rFonts w:hint="eastAsia" w:ascii="黑体" w:hAnsi="黑体" w:eastAsia="黑体"/>
          <w:szCs w:val="24"/>
        </w:rPr>
        <w:t>采购代理服务收费标准</w:t>
      </w:r>
    </w:p>
    <w:tbl>
      <w:tblPr>
        <w:tblStyle w:val="11"/>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1889"/>
        <w:gridCol w:w="2090"/>
        <w:gridCol w:w="2280"/>
        <w:gridCol w:w="2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97" w:hRule="atLeast"/>
        </w:trPr>
        <w:tc>
          <w:tcPr>
            <w:tcW w:w="1109" w:type="pct"/>
            <w:shd w:val="clear" w:color="auto" w:fill="FFFFFF"/>
            <w:tcMar>
              <w:top w:w="0" w:type="dxa"/>
              <w:left w:w="108" w:type="dxa"/>
              <w:bottom w:w="0" w:type="dxa"/>
              <w:right w:w="108" w:type="dxa"/>
            </w:tcMar>
            <w:vAlign w:val="center"/>
          </w:tcPr>
          <w:p>
            <w:pPr>
              <w:pStyle w:val="26"/>
              <w:jc w:val="center"/>
              <w:rPr>
                <w:rFonts w:ascii="黑体" w:hAnsi="黑体" w:eastAsia="黑体"/>
                <w:kern w:val="2"/>
                <w:sz w:val="24"/>
                <w:szCs w:val="24"/>
              </w:rPr>
            </w:pPr>
            <w:r>
              <w:rPr>
                <w:rFonts w:hint="eastAsia" w:ascii="黑体" w:hAnsi="黑体" w:eastAsia="黑体"/>
                <w:kern w:val="2"/>
                <w:sz w:val="24"/>
                <w:szCs w:val="24"/>
              </w:rPr>
              <w:t>服务费类型</w:t>
            </w:r>
          </w:p>
        </w:tc>
        <w:tc>
          <w:tcPr>
            <w:tcW w:w="1227" w:type="pct"/>
            <w:shd w:val="clear" w:color="auto" w:fill="FFFFFF"/>
            <w:tcMar>
              <w:top w:w="0" w:type="dxa"/>
              <w:left w:w="108" w:type="dxa"/>
              <w:bottom w:w="0" w:type="dxa"/>
              <w:right w:w="108" w:type="dxa"/>
            </w:tcMar>
            <w:vAlign w:val="center"/>
          </w:tcPr>
          <w:p>
            <w:pPr>
              <w:pStyle w:val="26"/>
              <w:jc w:val="center"/>
              <w:rPr>
                <w:rFonts w:ascii="黑体" w:hAnsi="黑体" w:eastAsia="黑体"/>
                <w:kern w:val="2"/>
                <w:sz w:val="24"/>
                <w:szCs w:val="24"/>
              </w:rPr>
            </w:pPr>
            <w:r>
              <w:rPr>
                <w:rFonts w:hint="eastAsia" w:ascii="黑体" w:hAnsi="黑体" w:eastAsia="黑体"/>
                <w:kern w:val="2"/>
                <w:sz w:val="24"/>
                <w:szCs w:val="24"/>
              </w:rPr>
              <w:t>货物采购</w:t>
            </w:r>
          </w:p>
        </w:tc>
        <w:tc>
          <w:tcPr>
            <w:tcW w:w="1339" w:type="pct"/>
            <w:shd w:val="clear" w:color="auto" w:fill="FFFFFF"/>
            <w:tcMar>
              <w:top w:w="0" w:type="dxa"/>
              <w:left w:w="108" w:type="dxa"/>
              <w:bottom w:w="0" w:type="dxa"/>
              <w:right w:w="108" w:type="dxa"/>
            </w:tcMar>
            <w:vAlign w:val="center"/>
          </w:tcPr>
          <w:p>
            <w:pPr>
              <w:pStyle w:val="26"/>
              <w:jc w:val="center"/>
              <w:rPr>
                <w:rFonts w:ascii="黑体" w:hAnsi="黑体" w:eastAsia="黑体"/>
                <w:kern w:val="2"/>
                <w:sz w:val="24"/>
                <w:szCs w:val="24"/>
              </w:rPr>
            </w:pPr>
            <w:r>
              <w:rPr>
                <w:rFonts w:hint="eastAsia" w:ascii="黑体" w:hAnsi="黑体" w:eastAsia="黑体"/>
                <w:kern w:val="2"/>
                <w:sz w:val="24"/>
                <w:szCs w:val="24"/>
              </w:rPr>
              <w:t>服务采购</w:t>
            </w:r>
          </w:p>
        </w:tc>
        <w:tc>
          <w:tcPr>
            <w:tcW w:w="1322" w:type="pct"/>
            <w:shd w:val="clear" w:color="auto" w:fill="FFFFFF"/>
            <w:tcMar>
              <w:top w:w="0" w:type="dxa"/>
              <w:left w:w="108" w:type="dxa"/>
              <w:bottom w:w="0" w:type="dxa"/>
              <w:right w:w="108" w:type="dxa"/>
            </w:tcMar>
            <w:vAlign w:val="center"/>
          </w:tcPr>
          <w:p>
            <w:pPr>
              <w:pStyle w:val="26"/>
              <w:jc w:val="center"/>
              <w:rPr>
                <w:rFonts w:ascii="黑体" w:hAnsi="黑体" w:eastAsia="黑体"/>
                <w:kern w:val="2"/>
                <w:sz w:val="24"/>
                <w:szCs w:val="24"/>
              </w:rPr>
            </w:pPr>
            <w:r>
              <w:rPr>
                <w:rFonts w:hint="eastAsia" w:ascii="黑体" w:hAnsi="黑体" w:eastAsia="黑体"/>
                <w:kern w:val="2"/>
                <w:sz w:val="24"/>
                <w:szCs w:val="24"/>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97" w:hRule="atLeast"/>
        </w:trPr>
        <w:tc>
          <w:tcPr>
            <w:tcW w:w="1109" w:type="pct"/>
            <w:shd w:val="clear" w:color="auto" w:fill="FFFFFF"/>
            <w:tcMar>
              <w:top w:w="0" w:type="dxa"/>
              <w:left w:w="108" w:type="dxa"/>
              <w:bottom w:w="0" w:type="dxa"/>
              <w:right w:w="108" w:type="dxa"/>
            </w:tcMar>
            <w:vAlign w:val="center"/>
          </w:tcPr>
          <w:p>
            <w:pPr>
              <w:pStyle w:val="26"/>
              <w:jc w:val="center"/>
              <w:rPr>
                <w:rFonts w:eastAsia="宋体" w:cs="宋体"/>
                <w:b/>
                <w:bCs/>
                <w:kern w:val="2"/>
                <w:sz w:val="24"/>
              </w:rPr>
            </w:pPr>
            <w:r>
              <w:rPr>
                <w:rFonts w:hint="eastAsia"/>
                <w:b/>
                <w:bCs/>
                <w:kern w:val="2"/>
              </w:rPr>
              <w:t>中标金额（万元）</w:t>
            </w:r>
          </w:p>
        </w:tc>
        <w:tc>
          <w:tcPr>
            <w:tcW w:w="1227" w:type="pct"/>
            <w:shd w:val="clear" w:color="auto" w:fill="FFFFFF"/>
            <w:tcMar>
              <w:top w:w="0" w:type="dxa"/>
              <w:left w:w="108" w:type="dxa"/>
              <w:bottom w:w="0" w:type="dxa"/>
              <w:right w:w="108" w:type="dxa"/>
            </w:tcMar>
            <w:vAlign w:val="center"/>
          </w:tcPr>
          <w:p>
            <w:pPr>
              <w:pStyle w:val="26"/>
              <w:jc w:val="center"/>
              <w:rPr>
                <w:b/>
                <w:bCs/>
                <w:kern w:val="2"/>
              </w:rPr>
            </w:pPr>
            <w:r>
              <w:rPr>
                <w:rFonts w:hint="eastAsia"/>
                <w:b/>
                <w:bCs/>
                <w:kern w:val="2"/>
              </w:rPr>
              <w:t>比例</w:t>
            </w:r>
          </w:p>
        </w:tc>
        <w:tc>
          <w:tcPr>
            <w:tcW w:w="1339" w:type="pct"/>
            <w:shd w:val="clear" w:color="auto" w:fill="FFFFFF"/>
            <w:tcMar>
              <w:top w:w="0" w:type="dxa"/>
              <w:left w:w="108" w:type="dxa"/>
              <w:bottom w:w="0" w:type="dxa"/>
              <w:right w:w="108" w:type="dxa"/>
            </w:tcMar>
            <w:vAlign w:val="center"/>
          </w:tcPr>
          <w:p>
            <w:pPr>
              <w:pStyle w:val="26"/>
              <w:jc w:val="center"/>
              <w:rPr>
                <w:b/>
                <w:bCs/>
                <w:kern w:val="2"/>
              </w:rPr>
            </w:pPr>
            <w:r>
              <w:rPr>
                <w:rFonts w:hint="eastAsia"/>
                <w:b/>
                <w:bCs/>
                <w:kern w:val="2"/>
              </w:rPr>
              <w:t>比例</w:t>
            </w:r>
          </w:p>
        </w:tc>
        <w:tc>
          <w:tcPr>
            <w:tcW w:w="1322" w:type="pct"/>
            <w:shd w:val="clear" w:color="auto" w:fill="FFFFFF"/>
            <w:tcMar>
              <w:top w:w="0" w:type="dxa"/>
              <w:left w:w="108" w:type="dxa"/>
              <w:bottom w:w="0" w:type="dxa"/>
              <w:right w:w="108" w:type="dxa"/>
            </w:tcMar>
            <w:vAlign w:val="center"/>
          </w:tcPr>
          <w:p>
            <w:pPr>
              <w:pStyle w:val="26"/>
              <w:jc w:val="center"/>
              <w:rPr>
                <w:b/>
                <w:bCs/>
                <w:kern w:val="2"/>
              </w:rPr>
            </w:pPr>
            <w:r>
              <w:rPr>
                <w:rFonts w:hint="eastAsia"/>
                <w:b/>
                <w:bCs/>
                <w:kern w:val="2"/>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70" w:hRule="atLeast"/>
        </w:trPr>
        <w:tc>
          <w:tcPr>
            <w:tcW w:w="1109" w:type="pct"/>
            <w:shd w:val="clear" w:color="auto" w:fill="FFFFFF"/>
            <w:tcMar>
              <w:top w:w="0" w:type="dxa"/>
              <w:left w:w="108" w:type="dxa"/>
              <w:bottom w:w="0" w:type="dxa"/>
              <w:right w:w="108" w:type="dxa"/>
            </w:tcMar>
            <w:vAlign w:val="center"/>
          </w:tcPr>
          <w:p>
            <w:pPr>
              <w:pStyle w:val="26"/>
              <w:jc w:val="center"/>
              <w:rPr>
                <w:b/>
                <w:bCs/>
                <w:kern w:val="2"/>
              </w:rPr>
            </w:pPr>
            <w:r>
              <w:rPr>
                <w:rFonts w:hint="eastAsia"/>
                <w:b/>
                <w:bCs/>
                <w:kern w:val="2"/>
              </w:rPr>
              <w:t>2以下</w:t>
            </w:r>
          </w:p>
        </w:tc>
        <w:tc>
          <w:tcPr>
            <w:tcW w:w="1227" w:type="pct"/>
            <w:shd w:val="clear" w:color="auto" w:fill="FFFFFF"/>
            <w:tcMar>
              <w:top w:w="0" w:type="dxa"/>
              <w:left w:w="108" w:type="dxa"/>
              <w:bottom w:w="0" w:type="dxa"/>
              <w:right w:w="108" w:type="dxa"/>
            </w:tcMar>
            <w:vAlign w:val="center"/>
          </w:tcPr>
          <w:p>
            <w:pPr>
              <w:pStyle w:val="26"/>
              <w:jc w:val="center"/>
              <w:rPr>
                <w:b/>
                <w:bCs/>
                <w:kern w:val="2"/>
              </w:rPr>
            </w:pPr>
            <w:r>
              <w:rPr>
                <w:rFonts w:hint="eastAsia"/>
                <w:b/>
                <w:bCs/>
                <w:kern w:val="2"/>
              </w:rPr>
              <w:t>免费</w:t>
            </w:r>
          </w:p>
        </w:tc>
        <w:tc>
          <w:tcPr>
            <w:tcW w:w="1339" w:type="pct"/>
            <w:shd w:val="clear" w:color="auto" w:fill="FFFFFF"/>
            <w:tcMar>
              <w:top w:w="0" w:type="dxa"/>
              <w:left w:w="108" w:type="dxa"/>
              <w:bottom w:w="0" w:type="dxa"/>
              <w:right w:w="108" w:type="dxa"/>
            </w:tcMar>
            <w:vAlign w:val="center"/>
          </w:tcPr>
          <w:p>
            <w:pPr>
              <w:pStyle w:val="26"/>
              <w:jc w:val="center"/>
              <w:rPr>
                <w:b/>
                <w:bCs/>
                <w:kern w:val="2"/>
              </w:rPr>
            </w:pPr>
            <w:r>
              <w:rPr>
                <w:rFonts w:hint="eastAsia"/>
                <w:b/>
                <w:bCs/>
                <w:kern w:val="2"/>
              </w:rPr>
              <w:t>免费</w:t>
            </w:r>
          </w:p>
        </w:tc>
        <w:tc>
          <w:tcPr>
            <w:tcW w:w="1322" w:type="pct"/>
            <w:shd w:val="clear" w:color="auto" w:fill="FFFFFF"/>
            <w:tcMar>
              <w:top w:w="0" w:type="dxa"/>
              <w:left w:w="108" w:type="dxa"/>
              <w:bottom w:w="0" w:type="dxa"/>
              <w:right w:w="108" w:type="dxa"/>
            </w:tcMar>
            <w:vAlign w:val="center"/>
          </w:tcPr>
          <w:p>
            <w:pPr>
              <w:pStyle w:val="26"/>
              <w:jc w:val="center"/>
              <w:rPr>
                <w:b/>
                <w:bCs/>
                <w:kern w:val="2"/>
              </w:rPr>
            </w:pPr>
            <w:r>
              <w:rPr>
                <w:rFonts w:hint="eastAsia"/>
                <w:b/>
                <w:bCs/>
                <w:kern w:val="2"/>
              </w:rPr>
              <w:t>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70" w:hRule="atLeast"/>
        </w:trPr>
        <w:tc>
          <w:tcPr>
            <w:tcW w:w="1109" w:type="pct"/>
            <w:shd w:val="clear" w:color="auto" w:fill="FFFFFF"/>
            <w:tcMar>
              <w:top w:w="0" w:type="dxa"/>
              <w:left w:w="108" w:type="dxa"/>
              <w:bottom w:w="0" w:type="dxa"/>
              <w:right w:w="108" w:type="dxa"/>
            </w:tcMar>
            <w:vAlign w:val="center"/>
          </w:tcPr>
          <w:p>
            <w:pPr>
              <w:pStyle w:val="26"/>
              <w:jc w:val="center"/>
              <w:rPr>
                <w:b/>
                <w:bCs/>
                <w:kern w:val="2"/>
              </w:rPr>
            </w:pPr>
            <w:r>
              <w:rPr>
                <w:rFonts w:hint="eastAsia"/>
                <w:b/>
                <w:bCs/>
                <w:kern w:val="2"/>
              </w:rPr>
              <w:t>2-3</w:t>
            </w:r>
          </w:p>
        </w:tc>
        <w:tc>
          <w:tcPr>
            <w:tcW w:w="1227" w:type="pct"/>
            <w:shd w:val="clear" w:color="auto" w:fill="FFFFFF"/>
            <w:tcMar>
              <w:top w:w="0" w:type="dxa"/>
              <w:left w:w="108" w:type="dxa"/>
              <w:bottom w:w="0" w:type="dxa"/>
              <w:right w:w="108" w:type="dxa"/>
            </w:tcMar>
            <w:vAlign w:val="center"/>
          </w:tcPr>
          <w:p>
            <w:pPr>
              <w:pStyle w:val="26"/>
              <w:jc w:val="center"/>
              <w:rPr>
                <w:b/>
                <w:bCs/>
                <w:kern w:val="2"/>
              </w:rPr>
            </w:pPr>
            <w:r>
              <w:rPr>
                <w:b/>
                <w:bCs/>
                <w:kern w:val="2"/>
              </w:rPr>
              <w:t>1.5%</w:t>
            </w:r>
          </w:p>
        </w:tc>
        <w:tc>
          <w:tcPr>
            <w:tcW w:w="1339" w:type="pct"/>
            <w:shd w:val="clear" w:color="auto" w:fill="FFFFFF"/>
            <w:tcMar>
              <w:top w:w="0" w:type="dxa"/>
              <w:left w:w="108" w:type="dxa"/>
              <w:bottom w:w="0" w:type="dxa"/>
              <w:right w:w="108" w:type="dxa"/>
            </w:tcMar>
            <w:vAlign w:val="center"/>
          </w:tcPr>
          <w:p>
            <w:pPr>
              <w:pStyle w:val="26"/>
              <w:jc w:val="center"/>
              <w:rPr>
                <w:b/>
                <w:bCs/>
                <w:kern w:val="2"/>
              </w:rPr>
            </w:pPr>
            <w:r>
              <w:rPr>
                <w:b/>
                <w:bCs/>
                <w:kern w:val="2"/>
              </w:rPr>
              <w:t>1.50%</w:t>
            </w:r>
          </w:p>
        </w:tc>
        <w:tc>
          <w:tcPr>
            <w:tcW w:w="1322" w:type="pct"/>
            <w:shd w:val="clear" w:color="auto" w:fill="FFFFFF"/>
            <w:tcMar>
              <w:top w:w="0" w:type="dxa"/>
              <w:left w:w="108" w:type="dxa"/>
              <w:bottom w:w="0" w:type="dxa"/>
              <w:right w:w="108" w:type="dxa"/>
            </w:tcMar>
            <w:vAlign w:val="center"/>
          </w:tcPr>
          <w:p>
            <w:pPr>
              <w:pStyle w:val="26"/>
              <w:jc w:val="center"/>
              <w:rPr>
                <w:b/>
                <w:bCs/>
                <w:kern w:val="2"/>
              </w:rPr>
            </w:pPr>
            <w:r>
              <w:rPr>
                <w:rFonts w:hint="eastAsia"/>
                <w:b/>
                <w:bCs/>
                <w:kern w:val="2"/>
              </w:rPr>
              <w:t>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31" w:hRule="atLeast"/>
        </w:trPr>
        <w:tc>
          <w:tcPr>
            <w:tcW w:w="1109" w:type="pct"/>
            <w:shd w:val="clear" w:color="auto" w:fill="FFFFFF"/>
            <w:tcMar>
              <w:top w:w="0" w:type="dxa"/>
              <w:left w:w="108" w:type="dxa"/>
              <w:bottom w:w="0" w:type="dxa"/>
              <w:right w:w="108" w:type="dxa"/>
            </w:tcMar>
            <w:vAlign w:val="center"/>
          </w:tcPr>
          <w:p>
            <w:pPr>
              <w:pStyle w:val="26"/>
              <w:jc w:val="center"/>
              <w:rPr>
                <w:rFonts w:eastAsia="宋体"/>
                <w:b/>
                <w:bCs/>
                <w:kern w:val="2"/>
              </w:rPr>
            </w:pPr>
            <w:r>
              <w:rPr>
                <w:rFonts w:hint="eastAsia"/>
                <w:b/>
                <w:bCs/>
                <w:kern w:val="2"/>
              </w:rPr>
              <w:t>3-100</w:t>
            </w:r>
          </w:p>
        </w:tc>
        <w:tc>
          <w:tcPr>
            <w:tcW w:w="1227" w:type="pct"/>
            <w:shd w:val="clear" w:color="auto" w:fill="FFFFFF"/>
            <w:tcMar>
              <w:top w:w="0" w:type="dxa"/>
              <w:left w:w="108" w:type="dxa"/>
              <w:bottom w:w="0" w:type="dxa"/>
              <w:right w:w="108" w:type="dxa"/>
            </w:tcMar>
            <w:vAlign w:val="center"/>
          </w:tcPr>
          <w:p>
            <w:pPr>
              <w:pStyle w:val="26"/>
              <w:jc w:val="center"/>
              <w:rPr>
                <w:b/>
                <w:bCs/>
                <w:kern w:val="2"/>
              </w:rPr>
            </w:pPr>
            <w:r>
              <w:rPr>
                <w:b/>
                <w:bCs/>
                <w:kern w:val="2"/>
              </w:rPr>
              <w:t>1.5%</w:t>
            </w:r>
          </w:p>
        </w:tc>
        <w:tc>
          <w:tcPr>
            <w:tcW w:w="1339" w:type="pct"/>
            <w:shd w:val="clear" w:color="auto" w:fill="FFFFFF"/>
            <w:tcMar>
              <w:top w:w="0" w:type="dxa"/>
              <w:left w:w="108" w:type="dxa"/>
              <w:bottom w:w="0" w:type="dxa"/>
              <w:right w:w="108" w:type="dxa"/>
            </w:tcMar>
            <w:vAlign w:val="center"/>
          </w:tcPr>
          <w:p>
            <w:pPr>
              <w:pStyle w:val="26"/>
              <w:jc w:val="center"/>
              <w:rPr>
                <w:b/>
                <w:bCs/>
                <w:kern w:val="2"/>
              </w:rPr>
            </w:pPr>
            <w:r>
              <w:rPr>
                <w:b/>
                <w:bCs/>
                <w:kern w:val="2"/>
              </w:rPr>
              <w:t>1.50%</w:t>
            </w:r>
          </w:p>
        </w:tc>
        <w:tc>
          <w:tcPr>
            <w:tcW w:w="1322" w:type="pct"/>
            <w:shd w:val="clear" w:color="auto" w:fill="FFFFFF"/>
            <w:tcMar>
              <w:top w:w="0" w:type="dxa"/>
              <w:left w:w="108" w:type="dxa"/>
              <w:bottom w:w="0" w:type="dxa"/>
              <w:right w:w="108" w:type="dxa"/>
            </w:tcMar>
            <w:vAlign w:val="center"/>
          </w:tcPr>
          <w:p>
            <w:pPr>
              <w:pStyle w:val="26"/>
              <w:jc w:val="center"/>
              <w:rPr>
                <w:b/>
                <w:bCs/>
                <w:kern w:val="2"/>
              </w:rPr>
            </w:pPr>
            <w:r>
              <w:rPr>
                <w:b/>
                <w:bCs/>
                <w:kern w:val="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07" w:hRule="atLeast"/>
        </w:trPr>
        <w:tc>
          <w:tcPr>
            <w:tcW w:w="1109" w:type="pct"/>
            <w:shd w:val="clear" w:color="auto" w:fill="FFFFFF"/>
            <w:tcMar>
              <w:top w:w="0" w:type="dxa"/>
              <w:left w:w="108" w:type="dxa"/>
              <w:bottom w:w="0" w:type="dxa"/>
              <w:right w:w="108" w:type="dxa"/>
            </w:tcMar>
            <w:vAlign w:val="center"/>
          </w:tcPr>
          <w:p>
            <w:pPr>
              <w:pStyle w:val="26"/>
              <w:jc w:val="center"/>
              <w:rPr>
                <w:b/>
                <w:bCs/>
                <w:kern w:val="2"/>
              </w:rPr>
            </w:pPr>
            <w:r>
              <w:rPr>
                <w:b/>
                <w:bCs/>
                <w:kern w:val="2"/>
              </w:rPr>
              <w:t>100-500</w:t>
            </w:r>
          </w:p>
        </w:tc>
        <w:tc>
          <w:tcPr>
            <w:tcW w:w="1227" w:type="pct"/>
            <w:shd w:val="clear" w:color="auto" w:fill="FFFFFF"/>
            <w:tcMar>
              <w:top w:w="0" w:type="dxa"/>
              <w:left w:w="108" w:type="dxa"/>
              <w:bottom w:w="0" w:type="dxa"/>
              <w:right w:w="108" w:type="dxa"/>
            </w:tcMar>
            <w:vAlign w:val="center"/>
          </w:tcPr>
          <w:p>
            <w:pPr>
              <w:pStyle w:val="26"/>
              <w:jc w:val="center"/>
              <w:rPr>
                <w:b/>
                <w:bCs/>
                <w:kern w:val="2"/>
              </w:rPr>
            </w:pPr>
            <w:r>
              <w:rPr>
                <w:b/>
                <w:bCs/>
                <w:kern w:val="2"/>
              </w:rPr>
              <w:t>1.1%</w:t>
            </w:r>
          </w:p>
        </w:tc>
        <w:tc>
          <w:tcPr>
            <w:tcW w:w="1339" w:type="pct"/>
            <w:shd w:val="clear" w:color="auto" w:fill="FFFFFF"/>
            <w:tcMar>
              <w:top w:w="0" w:type="dxa"/>
              <w:left w:w="108" w:type="dxa"/>
              <w:bottom w:w="0" w:type="dxa"/>
              <w:right w:w="108" w:type="dxa"/>
            </w:tcMar>
            <w:vAlign w:val="center"/>
          </w:tcPr>
          <w:p>
            <w:pPr>
              <w:pStyle w:val="26"/>
              <w:jc w:val="center"/>
              <w:rPr>
                <w:b/>
                <w:bCs/>
                <w:kern w:val="2"/>
              </w:rPr>
            </w:pPr>
            <w:r>
              <w:rPr>
                <w:b/>
                <w:bCs/>
                <w:kern w:val="2"/>
              </w:rPr>
              <w:t>0.80%</w:t>
            </w:r>
          </w:p>
        </w:tc>
        <w:tc>
          <w:tcPr>
            <w:tcW w:w="1322" w:type="pct"/>
            <w:shd w:val="clear" w:color="auto" w:fill="FFFFFF"/>
            <w:tcMar>
              <w:top w:w="0" w:type="dxa"/>
              <w:left w:w="108" w:type="dxa"/>
              <w:bottom w:w="0" w:type="dxa"/>
              <w:right w:w="108" w:type="dxa"/>
            </w:tcMar>
            <w:vAlign w:val="center"/>
          </w:tcPr>
          <w:p>
            <w:pPr>
              <w:pStyle w:val="26"/>
              <w:jc w:val="center"/>
              <w:rPr>
                <w:b/>
                <w:bCs/>
                <w:kern w:val="2"/>
              </w:rPr>
            </w:pPr>
            <w:r>
              <w:rPr>
                <w:b/>
                <w:bCs/>
                <w:kern w:val="2"/>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1" w:hRule="atLeast"/>
        </w:trPr>
        <w:tc>
          <w:tcPr>
            <w:tcW w:w="1109" w:type="pct"/>
            <w:shd w:val="clear" w:color="auto" w:fill="FFFFFF"/>
            <w:tcMar>
              <w:top w:w="0" w:type="dxa"/>
              <w:left w:w="108" w:type="dxa"/>
              <w:bottom w:w="0" w:type="dxa"/>
              <w:right w:w="108" w:type="dxa"/>
            </w:tcMar>
            <w:vAlign w:val="center"/>
          </w:tcPr>
          <w:p>
            <w:pPr>
              <w:pStyle w:val="26"/>
              <w:jc w:val="center"/>
              <w:rPr>
                <w:b/>
                <w:bCs/>
                <w:kern w:val="2"/>
              </w:rPr>
            </w:pPr>
            <w:r>
              <w:rPr>
                <w:b/>
                <w:bCs/>
                <w:kern w:val="2"/>
              </w:rPr>
              <w:t>500-1000</w:t>
            </w:r>
          </w:p>
        </w:tc>
        <w:tc>
          <w:tcPr>
            <w:tcW w:w="1227" w:type="pct"/>
            <w:shd w:val="clear" w:color="auto" w:fill="FFFFFF"/>
            <w:tcMar>
              <w:top w:w="0" w:type="dxa"/>
              <w:left w:w="108" w:type="dxa"/>
              <w:bottom w:w="0" w:type="dxa"/>
              <w:right w:w="108" w:type="dxa"/>
            </w:tcMar>
            <w:vAlign w:val="center"/>
          </w:tcPr>
          <w:p>
            <w:pPr>
              <w:pStyle w:val="26"/>
              <w:jc w:val="center"/>
              <w:rPr>
                <w:b/>
                <w:bCs/>
                <w:kern w:val="2"/>
              </w:rPr>
            </w:pPr>
            <w:r>
              <w:rPr>
                <w:b/>
                <w:bCs/>
                <w:kern w:val="2"/>
              </w:rPr>
              <w:t>0.8%</w:t>
            </w:r>
          </w:p>
        </w:tc>
        <w:tc>
          <w:tcPr>
            <w:tcW w:w="1339" w:type="pct"/>
            <w:shd w:val="clear" w:color="auto" w:fill="FFFFFF"/>
            <w:tcMar>
              <w:top w:w="0" w:type="dxa"/>
              <w:left w:w="108" w:type="dxa"/>
              <w:bottom w:w="0" w:type="dxa"/>
              <w:right w:w="108" w:type="dxa"/>
            </w:tcMar>
            <w:vAlign w:val="center"/>
          </w:tcPr>
          <w:p>
            <w:pPr>
              <w:pStyle w:val="26"/>
              <w:jc w:val="center"/>
              <w:rPr>
                <w:b/>
                <w:bCs/>
                <w:kern w:val="2"/>
              </w:rPr>
            </w:pPr>
            <w:r>
              <w:rPr>
                <w:b/>
                <w:bCs/>
                <w:kern w:val="2"/>
              </w:rPr>
              <w:t>0.45%</w:t>
            </w:r>
          </w:p>
        </w:tc>
        <w:tc>
          <w:tcPr>
            <w:tcW w:w="1322" w:type="pct"/>
            <w:shd w:val="clear" w:color="auto" w:fill="FFFFFF"/>
            <w:tcMar>
              <w:top w:w="0" w:type="dxa"/>
              <w:left w:w="108" w:type="dxa"/>
              <w:bottom w:w="0" w:type="dxa"/>
              <w:right w:w="108" w:type="dxa"/>
            </w:tcMar>
            <w:vAlign w:val="center"/>
          </w:tcPr>
          <w:p>
            <w:pPr>
              <w:pStyle w:val="26"/>
              <w:jc w:val="center"/>
              <w:rPr>
                <w:b/>
                <w:bCs/>
                <w:kern w:val="2"/>
              </w:rPr>
            </w:pPr>
            <w:r>
              <w:rPr>
                <w:b/>
                <w:bCs/>
                <w:kern w:val="2"/>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 w:hRule="atLeast"/>
        </w:trPr>
        <w:tc>
          <w:tcPr>
            <w:tcW w:w="1109" w:type="pct"/>
            <w:shd w:val="clear" w:color="auto" w:fill="FFFFFF"/>
            <w:tcMar>
              <w:top w:w="0" w:type="dxa"/>
              <w:left w:w="108" w:type="dxa"/>
              <w:bottom w:w="0" w:type="dxa"/>
              <w:right w:w="108" w:type="dxa"/>
            </w:tcMar>
            <w:vAlign w:val="center"/>
          </w:tcPr>
          <w:p>
            <w:pPr>
              <w:pStyle w:val="26"/>
              <w:jc w:val="center"/>
              <w:rPr>
                <w:b/>
                <w:bCs/>
                <w:kern w:val="2"/>
              </w:rPr>
            </w:pPr>
            <w:r>
              <w:rPr>
                <w:b/>
                <w:bCs/>
                <w:kern w:val="2"/>
              </w:rPr>
              <w:t>1000-5000</w:t>
            </w:r>
          </w:p>
        </w:tc>
        <w:tc>
          <w:tcPr>
            <w:tcW w:w="1227" w:type="pct"/>
            <w:shd w:val="clear" w:color="auto" w:fill="FFFFFF"/>
            <w:tcMar>
              <w:top w:w="0" w:type="dxa"/>
              <w:left w:w="108" w:type="dxa"/>
              <w:bottom w:w="0" w:type="dxa"/>
              <w:right w:w="108" w:type="dxa"/>
            </w:tcMar>
            <w:vAlign w:val="center"/>
          </w:tcPr>
          <w:p>
            <w:pPr>
              <w:pStyle w:val="26"/>
              <w:jc w:val="center"/>
              <w:rPr>
                <w:b/>
                <w:bCs/>
                <w:kern w:val="2"/>
              </w:rPr>
            </w:pPr>
            <w:r>
              <w:rPr>
                <w:b/>
                <w:bCs/>
                <w:kern w:val="2"/>
              </w:rPr>
              <w:t>0.5%</w:t>
            </w:r>
          </w:p>
        </w:tc>
        <w:tc>
          <w:tcPr>
            <w:tcW w:w="1339" w:type="pct"/>
            <w:shd w:val="clear" w:color="auto" w:fill="FFFFFF"/>
            <w:tcMar>
              <w:top w:w="0" w:type="dxa"/>
              <w:left w:w="108" w:type="dxa"/>
              <w:bottom w:w="0" w:type="dxa"/>
              <w:right w:w="108" w:type="dxa"/>
            </w:tcMar>
            <w:vAlign w:val="center"/>
          </w:tcPr>
          <w:p>
            <w:pPr>
              <w:pStyle w:val="26"/>
              <w:jc w:val="center"/>
              <w:rPr>
                <w:b/>
                <w:bCs/>
                <w:kern w:val="2"/>
              </w:rPr>
            </w:pPr>
            <w:r>
              <w:rPr>
                <w:b/>
                <w:bCs/>
                <w:kern w:val="2"/>
              </w:rPr>
              <w:t>0.25%</w:t>
            </w:r>
          </w:p>
        </w:tc>
        <w:tc>
          <w:tcPr>
            <w:tcW w:w="1322" w:type="pct"/>
            <w:shd w:val="clear" w:color="auto" w:fill="FFFFFF"/>
            <w:tcMar>
              <w:top w:w="0" w:type="dxa"/>
              <w:left w:w="108" w:type="dxa"/>
              <w:bottom w:w="0" w:type="dxa"/>
              <w:right w:w="108" w:type="dxa"/>
            </w:tcMar>
            <w:vAlign w:val="center"/>
          </w:tcPr>
          <w:p>
            <w:pPr>
              <w:pStyle w:val="26"/>
              <w:jc w:val="center"/>
              <w:rPr>
                <w:b/>
                <w:bCs/>
                <w:kern w:val="2"/>
              </w:rPr>
            </w:pPr>
            <w:r>
              <w:rPr>
                <w:b/>
                <w:bCs/>
                <w:kern w:val="2"/>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 w:hRule="atLeast"/>
        </w:trPr>
        <w:tc>
          <w:tcPr>
            <w:tcW w:w="1109" w:type="pct"/>
            <w:shd w:val="clear" w:color="auto" w:fill="FFFFFF"/>
            <w:tcMar>
              <w:top w:w="0" w:type="dxa"/>
              <w:left w:w="108" w:type="dxa"/>
              <w:bottom w:w="0" w:type="dxa"/>
              <w:right w:w="108" w:type="dxa"/>
            </w:tcMar>
            <w:vAlign w:val="center"/>
          </w:tcPr>
          <w:p>
            <w:pPr>
              <w:pStyle w:val="26"/>
              <w:jc w:val="center"/>
              <w:rPr>
                <w:b/>
                <w:bCs/>
                <w:kern w:val="2"/>
              </w:rPr>
            </w:pPr>
            <w:r>
              <w:rPr>
                <w:b/>
                <w:bCs/>
                <w:kern w:val="2"/>
              </w:rPr>
              <w:t>5000-10000</w:t>
            </w:r>
          </w:p>
        </w:tc>
        <w:tc>
          <w:tcPr>
            <w:tcW w:w="1227" w:type="pct"/>
            <w:shd w:val="clear" w:color="auto" w:fill="FFFFFF"/>
            <w:tcMar>
              <w:top w:w="0" w:type="dxa"/>
              <w:left w:w="108" w:type="dxa"/>
              <w:bottom w:w="0" w:type="dxa"/>
              <w:right w:w="108" w:type="dxa"/>
            </w:tcMar>
            <w:vAlign w:val="center"/>
          </w:tcPr>
          <w:p>
            <w:pPr>
              <w:pStyle w:val="26"/>
              <w:jc w:val="center"/>
              <w:rPr>
                <w:b/>
                <w:bCs/>
                <w:kern w:val="2"/>
              </w:rPr>
            </w:pPr>
            <w:r>
              <w:rPr>
                <w:b/>
                <w:bCs/>
                <w:kern w:val="2"/>
              </w:rPr>
              <w:t>0.25%</w:t>
            </w:r>
          </w:p>
        </w:tc>
        <w:tc>
          <w:tcPr>
            <w:tcW w:w="1339" w:type="pct"/>
            <w:shd w:val="clear" w:color="auto" w:fill="FFFFFF"/>
            <w:tcMar>
              <w:top w:w="0" w:type="dxa"/>
              <w:left w:w="108" w:type="dxa"/>
              <w:bottom w:w="0" w:type="dxa"/>
              <w:right w:w="108" w:type="dxa"/>
            </w:tcMar>
            <w:vAlign w:val="center"/>
          </w:tcPr>
          <w:p>
            <w:pPr>
              <w:pStyle w:val="26"/>
              <w:jc w:val="center"/>
              <w:rPr>
                <w:b/>
                <w:bCs/>
                <w:kern w:val="2"/>
              </w:rPr>
            </w:pPr>
            <w:r>
              <w:rPr>
                <w:b/>
                <w:bCs/>
                <w:kern w:val="2"/>
              </w:rPr>
              <w:t>0.10%</w:t>
            </w:r>
          </w:p>
        </w:tc>
        <w:tc>
          <w:tcPr>
            <w:tcW w:w="1322" w:type="pct"/>
            <w:shd w:val="clear" w:color="auto" w:fill="FFFFFF"/>
            <w:tcMar>
              <w:top w:w="0" w:type="dxa"/>
              <w:left w:w="108" w:type="dxa"/>
              <w:bottom w:w="0" w:type="dxa"/>
              <w:right w:w="108" w:type="dxa"/>
            </w:tcMar>
            <w:vAlign w:val="center"/>
          </w:tcPr>
          <w:p>
            <w:pPr>
              <w:pStyle w:val="26"/>
              <w:jc w:val="center"/>
              <w:rPr>
                <w:b/>
                <w:bCs/>
                <w:kern w:val="2"/>
              </w:rPr>
            </w:pPr>
            <w:r>
              <w:rPr>
                <w:b/>
                <w:bCs/>
                <w:kern w:val="2"/>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trPr>
        <w:tc>
          <w:tcPr>
            <w:tcW w:w="1109" w:type="pct"/>
            <w:shd w:val="clear" w:color="auto" w:fill="FFFFFF"/>
            <w:tcMar>
              <w:top w:w="0" w:type="dxa"/>
              <w:left w:w="108" w:type="dxa"/>
              <w:bottom w:w="0" w:type="dxa"/>
              <w:right w:w="108" w:type="dxa"/>
            </w:tcMar>
            <w:vAlign w:val="center"/>
          </w:tcPr>
          <w:p>
            <w:pPr>
              <w:pStyle w:val="26"/>
              <w:jc w:val="center"/>
              <w:rPr>
                <w:b/>
                <w:bCs/>
                <w:kern w:val="2"/>
              </w:rPr>
            </w:pPr>
            <w:r>
              <w:rPr>
                <w:b/>
                <w:bCs/>
                <w:kern w:val="2"/>
              </w:rPr>
              <w:t>10000-100000</w:t>
            </w:r>
          </w:p>
        </w:tc>
        <w:tc>
          <w:tcPr>
            <w:tcW w:w="1227" w:type="pct"/>
            <w:shd w:val="clear" w:color="auto" w:fill="FFFFFF"/>
            <w:tcMar>
              <w:top w:w="0" w:type="dxa"/>
              <w:left w:w="108" w:type="dxa"/>
              <w:bottom w:w="0" w:type="dxa"/>
              <w:right w:w="108" w:type="dxa"/>
            </w:tcMar>
            <w:vAlign w:val="center"/>
          </w:tcPr>
          <w:p>
            <w:pPr>
              <w:pStyle w:val="26"/>
              <w:jc w:val="center"/>
              <w:rPr>
                <w:b/>
                <w:bCs/>
                <w:kern w:val="2"/>
              </w:rPr>
            </w:pPr>
            <w:r>
              <w:rPr>
                <w:b/>
                <w:bCs/>
                <w:kern w:val="2"/>
              </w:rPr>
              <w:t>0.05%</w:t>
            </w:r>
          </w:p>
        </w:tc>
        <w:tc>
          <w:tcPr>
            <w:tcW w:w="1339" w:type="pct"/>
            <w:shd w:val="clear" w:color="auto" w:fill="FFFFFF"/>
            <w:tcMar>
              <w:top w:w="0" w:type="dxa"/>
              <w:left w:w="108" w:type="dxa"/>
              <w:bottom w:w="0" w:type="dxa"/>
              <w:right w:w="108" w:type="dxa"/>
            </w:tcMar>
            <w:vAlign w:val="center"/>
          </w:tcPr>
          <w:p>
            <w:pPr>
              <w:pStyle w:val="26"/>
              <w:jc w:val="center"/>
              <w:rPr>
                <w:b/>
                <w:bCs/>
                <w:kern w:val="2"/>
              </w:rPr>
            </w:pPr>
            <w:r>
              <w:rPr>
                <w:b/>
                <w:bCs/>
                <w:kern w:val="2"/>
              </w:rPr>
              <w:t>0.05%</w:t>
            </w:r>
          </w:p>
        </w:tc>
        <w:tc>
          <w:tcPr>
            <w:tcW w:w="1322" w:type="pct"/>
            <w:shd w:val="clear" w:color="auto" w:fill="FFFFFF"/>
            <w:tcMar>
              <w:top w:w="0" w:type="dxa"/>
              <w:left w:w="108" w:type="dxa"/>
              <w:bottom w:w="0" w:type="dxa"/>
              <w:right w:w="108" w:type="dxa"/>
            </w:tcMar>
            <w:vAlign w:val="center"/>
          </w:tcPr>
          <w:p>
            <w:pPr>
              <w:pStyle w:val="26"/>
              <w:jc w:val="center"/>
              <w:rPr>
                <w:b/>
                <w:bCs/>
                <w:kern w:val="2"/>
              </w:rPr>
            </w:pPr>
            <w:r>
              <w:rPr>
                <w:b/>
                <w:bCs/>
                <w:kern w:val="2"/>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trPr>
        <w:tc>
          <w:tcPr>
            <w:tcW w:w="1109" w:type="pct"/>
            <w:shd w:val="clear" w:color="auto" w:fill="FFFFFF"/>
            <w:tcMar>
              <w:top w:w="0" w:type="dxa"/>
              <w:left w:w="108" w:type="dxa"/>
              <w:bottom w:w="0" w:type="dxa"/>
              <w:right w:w="108" w:type="dxa"/>
            </w:tcMar>
            <w:vAlign w:val="center"/>
          </w:tcPr>
          <w:p>
            <w:pPr>
              <w:pStyle w:val="26"/>
              <w:jc w:val="center"/>
              <w:rPr>
                <w:b/>
                <w:bCs/>
                <w:kern w:val="2"/>
              </w:rPr>
            </w:pPr>
            <w:r>
              <w:rPr>
                <w:rFonts w:hint="eastAsia"/>
                <w:b/>
                <w:bCs/>
                <w:kern w:val="2"/>
              </w:rPr>
              <w:t>100000以上</w:t>
            </w:r>
          </w:p>
        </w:tc>
        <w:tc>
          <w:tcPr>
            <w:tcW w:w="1227" w:type="pct"/>
            <w:shd w:val="clear" w:color="auto" w:fill="FFFFFF"/>
            <w:tcMar>
              <w:top w:w="0" w:type="dxa"/>
              <w:left w:w="108" w:type="dxa"/>
              <w:bottom w:w="0" w:type="dxa"/>
              <w:right w:w="108" w:type="dxa"/>
            </w:tcMar>
            <w:vAlign w:val="center"/>
          </w:tcPr>
          <w:p>
            <w:pPr>
              <w:pStyle w:val="26"/>
              <w:jc w:val="center"/>
              <w:rPr>
                <w:b/>
                <w:bCs/>
                <w:kern w:val="2"/>
              </w:rPr>
            </w:pPr>
            <w:r>
              <w:rPr>
                <w:b/>
                <w:bCs/>
                <w:kern w:val="2"/>
              </w:rPr>
              <w:t>0.01%</w:t>
            </w:r>
          </w:p>
        </w:tc>
        <w:tc>
          <w:tcPr>
            <w:tcW w:w="1339" w:type="pct"/>
            <w:shd w:val="clear" w:color="auto" w:fill="FFFFFF"/>
            <w:tcMar>
              <w:top w:w="0" w:type="dxa"/>
              <w:left w:w="108" w:type="dxa"/>
              <w:bottom w:w="0" w:type="dxa"/>
              <w:right w:w="108" w:type="dxa"/>
            </w:tcMar>
            <w:vAlign w:val="center"/>
          </w:tcPr>
          <w:p>
            <w:pPr>
              <w:pStyle w:val="26"/>
              <w:jc w:val="center"/>
              <w:rPr>
                <w:b/>
                <w:bCs/>
                <w:kern w:val="2"/>
              </w:rPr>
            </w:pPr>
            <w:r>
              <w:rPr>
                <w:b/>
                <w:bCs/>
                <w:kern w:val="2"/>
              </w:rPr>
              <w:t>0.01%</w:t>
            </w:r>
          </w:p>
        </w:tc>
        <w:tc>
          <w:tcPr>
            <w:tcW w:w="1322" w:type="pct"/>
            <w:shd w:val="clear" w:color="auto" w:fill="FFFFFF"/>
            <w:tcMar>
              <w:top w:w="0" w:type="dxa"/>
              <w:left w:w="108" w:type="dxa"/>
              <w:bottom w:w="0" w:type="dxa"/>
              <w:right w:w="108" w:type="dxa"/>
            </w:tcMar>
            <w:vAlign w:val="center"/>
          </w:tcPr>
          <w:p>
            <w:pPr>
              <w:pStyle w:val="26"/>
              <w:jc w:val="center"/>
              <w:rPr>
                <w:b/>
                <w:bCs/>
                <w:kern w:val="2"/>
              </w:rPr>
            </w:pPr>
            <w:r>
              <w:rPr>
                <w:b/>
                <w:bCs/>
                <w:kern w:val="2"/>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000" w:type="pct"/>
            <w:gridSpan w:val="4"/>
            <w:shd w:val="clear" w:color="auto" w:fill="FFFFFF"/>
            <w:tcMar>
              <w:top w:w="0" w:type="dxa"/>
              <w:left w:w="108" w:type="dxa"/>
              <w:bottom w:w="0" w:type="dxa"/>
              <w:right w:w="108" w:type="dxa"/>
            </w:tcMar>
            <w:vAlign w:val="center"/>
          </w:tcPr>
          <w:p>
            <w:pPr>
              <w:pStyle w:val="26"/>
              <w:rPr>
                <w:b/>
                <w:bCs/>
                <w:color w:val="FF0000"/>
                <w:kern w:val="2"/>
              </w:rPr>
            </w:pPr>
            <w:r>
              <w:rPr>
                <w:rFonts w:hint="eastAsia"/>
                <w:b/>
                <w:bCs/>
                <w:color w:val="FF0000"/>
                <w:kern w:val="2"/>
              </w:rPr>
              <w:t>注：</w:t>
            </w:r>
          </w:p>
          <w:p>
            <w:pPr>
              <w:pStyle w:val="26"/>
              <w:rPr>
                <w:b/>
                <w:bCs/>
                <w:color w:val="FF0000"/>
                <w:kern w:val="2"/>
              </w:rPr>
            </w:pPr>
            <w:r>
              <w:rPr>
                <w:rFonts w:hint="eastAsia"/>
                <w:b/>
                <w:bCs/>
                <w:color w:val="FF0000"/>
                <w:kern w:val="2"/>
              </w:rPr>
              <w:t>1.单位：元，不保留角分小数，四舍五入保留到元单位即可，不需要角分；</w:t>
            </w:r>
          </w:p>
          <w:p>
            <w:pPr>
              <w:pStyle w:val="26"/>
              <w:rPr>
                <w:b/>
                <w:bCs/>
                <w:color w:val="FF0000"/>
                <w:kern w:val="2"/>
              </w:rPr>
            </w:pPr>
            <w:r>
              <w:rPr>
                <w:rFonts w:hint="eastAsia"/>
                <w:b/>
                <w:bCs/>
                <w:color w:val="FF0000"/>
                <w:kern w:val="2"/>
              </w:rPr>
              <w:t>2.附件：代理费收费计算器EXCEL表格（可以手动计算也可以根据计算器EXCEL表格计算）；</w:t>
            </w:r>
          </w:p>
          <w:p>
            <w:pPr>
              <w:pStyle w:val="26"/>
              <w:jc w:val="both"/>
              <w:rPr>
                <w:b/>
                <w:bCs/>
                <w:color w:val="FF0000"/>
                <w:kern w:val="2"/>
              </w:rPr>
            </w:pPr>
            <w:r>
              <w:rPr>
                <w:rFonts w:hint="eastAsia"/>
                <w:b/>
                <w:bCs/>
                <w:color w:val="FF0000"/>
                <w:kern w:val="2"/>
              </w:rPr>
              <w:t>3.将汇款凭证及可复制开票信息及收件地址发送至邮箱hnzbmdfzcg@163.com，主题为：XXXX项目服务费汇款凭证，我单位在收到邮件后，根据此邮箱发送中标通知书及后续业务办理通知，若未收到开票信息及收件地址统一按供应商库中开票信息及地址开票及邮寄服务费发票。</w:t>
            </w:r>
          </w:p>
          <w:p>
            <w:pPr>
              <w:pStyle w:val="26"/>
              <w:jc w:val="both"/>
              <w:rPr>
                <w:b/>
                <w:bCs/>
                <w:color w:val="FF0000"/>
                <w:kern w:val="2"/>
              </w:rPr>
            </w:pPr>
            <w:r>
              <w:rPr>
                <w:rFonts w:hint="eastAsia"/>
                <w:b/>
                <w:bCs/>
                <w:color w:val="FF0000"/>
                <w:kern w:val="2"/>
              </w:rPr>
              <w:t>4.请于结果公示发出日起3日内完成缴费（结果公示留意平台所留手机号短信提醒），若结果公示发出日起30日历天（含30天）内未完成缴费，后续项目不具备参与资格，响应文件不能通过初步审查。</w:t>
            </w:r>
          </w:p>
          <w:p>
            <w:pPr>
              <w:pStyle w:val="26"/>
              <w:jc w:val="both"/>
              <w:rPr>
                <w:b/>
                <w:bCs/>
                <w:kern w:val="2"/>
              </w:rPr>
            </w:pPr>
            <w:r>
              <w:rPr>
                <w:rFonts w:hint="eastAsia"/>
                <w:b/>
                <w:bCs/>
                <w:color w:val="FF0000"/>
                <w:kern w:val="2"/>
              </w:rPr>
              <w:t>5.不接受个人及与供应商单位名称不一致的单位汇款。</w:t>
            </w:r>
          </w:p>
        </w:tc>
      </w:tr>
    </w:tbl>
    <w:p>
      <w:pPr>
        <w:numPr>
          <w:ilvl w:val="0"/>
          <w:numId w:val="1"/>
        </w:numPr>
        <w:spacing w:line="240" w:lineRule="auto"/>
        <w:ind w:firstLine="561"/>
        <w:jc w:val="left"/>
        <w:rPr>
          <w:rFonts w:ascii="华文楷体" w:hAnsi="华文楷体" w:eastAsia="华文楷体" w:cs="华文楷体"/>
          <w:b/>
          <w:bCs/>
          <w:sz w:val="28"/>
          <w:szCs w:val="28"/>
        </w:rPr>
      </w:pPr>
      <w:r>
        <w:rPr>
          <w:rFonts w:ascii="华文楷体" w:hAnsi="华文楷体" w:eastAsia="华文楷体" w:cs="华文楷体"/>
          <w:b/>
          <w:bCs/>
          <w:sz w:val="28"/>
          <w:szCs w:val="28"/>
        </w:rPr>
        <w:t>缴纳形式：银行电汇</w:t>
      </w:r>
      <w:r>
        <w:rPr>
          <w:rFonts w:hint="eastAsia" w:ascii="华文楷体" w:hAnsi="华文楷体" w:eastAsia="华文楷体" w:cs="华文楷体"/>
          <w:b/>
          <w:bCs/>
          <w:sz w:val="28"/>
          <w:szCs w:val="28"/>
        </w:rPr>
        <w:t>,账号如下：</w:t>
      </w:r>
    </w:p>
    <w:p>
      <w:pPr>
        <w:spacing w:line="240" w:lineRule="auto"/>
        <w:ind w:firstLine="0" w:firstLineChars="0"/>
        <w:jc w:val="left"/>
        <w:rPr>
          <w:rFonts w:ascii="华文楷体" w:hAnsi="华文楷体" w:eastAsia="华文楷体" w:cs="华文楷体"/>
          <w:b/>
          <w:bCs/>
          <w:sz w:val="28"/>
          <w:szCs w:val="28"/>
        </w:rPr>
      </w:pPr>
      <w:r>
        <w:rPr>
          <w:rFonts w:ascii="华文楷体" w:hAnsi="华文楷体" w:eastAsia="华文楷体" w:cs="华文楷体"/>
          <w:b/>
          <w:bCs/>
          <w:sz w:val="28"/>
          <w:szCs w:val="28"/>
        </w:rPr>
        <w:t>单位名称：中国华能集团有限公司北京招标分公司</w:t>
      </w:r>
    </w:p>
    <w:p>
      <w:pPr>
        <w:spacing w:line="240" w:lineRule="auto"/>
        <w:ind w:firstLine="0" w:firstLineChars="0"/>
        <w:jc w:val="left"/>
        <w:rPr>
          <w:rFonts w:ascii="华文楷体" w:hAnsi="华文楷体" w:eastAsia="华文楷体" w:cs="华文楷体"/>
          <w:b/>
          <w:bCs/>
          <w:sz w:val="28"/>
          <w:szCs w:val="28"/>
        </w:rPr>
      </w:pPr>
      <w:r>
        <w:rPr>
          <w:rFonts w:ascii="华文楷体" w:hAnsi="华文楷体" w:eastAsia="华文楷体" w:cs="华文楷体"/>
          <w:b/>
          <w:bCs/>
          <w:sz w:val="28"/>
          <w:szCs w:val="28"/>
        </w:rPr>
        <w:t>开 户 行：交通银行北京市分行营业部</w:t>
      </w:r>
    </w:p>
    <w:p>
      <w:pPr>
        <w:spacing w:line="240" w:lineRule="auto"/>
        <w:ind w:firstLine="0" w:firstLineChars="0"/>
        <w:jc w:val="left"/>
        <w:rPr>
          <w:rFonts w:ascii="华文楷体" w:hAnsi="华文楷体" w:eastAsia="华文楷体" w:cs="华文楷体"/>
          <w:b/>
          <w:bCs/>
          <w:sz w:val="28"/>
          <w:szCs w:val="28"/>
        </w:rPr>
      </w:pPr>
      <w:r>
        <w:rPr>
          <w:rFonts w:ascii="华文楷体" w:hAnsi="华文楷体" w:eastAsia="华文楷体" w:cs="华文楷体"/>
          <w:b/>
          <w:bCs/>
          <w:sz w:val="28"/>
          <w:szCs w:val="28"/>
        </w:rPr>
        <w:t>联 行 号：301100000023</w:t>
      </w:r>
    </w:p>
    <w:p>
      <w:pPr>
        <w:spacing w:line="240" w:lineRule="auto"/>
        <w:ind w:firstLine="0" w:firstLineChars="0"/>
        <w:jc w:val="left"/>
        <w:rPr>
          <w:rFonts w:ascii="华文楷体" w:hAnsi="华文楷体" w:eastAsia="华文楷体" w:cs="华文楷体"/>
          <w:b/>
          <w:bCs/>
          <w:sz w:val="28"/>
          <w:szCs w:val="28"/>
        </w:rPr>
      </w:pPr>
      <w:r>
        <w:rPr>
          <w:rFonts w:ascii="华文楷体" w:hAnsi="华文楷体" w:eastAsia="华文楷体" w:cs="华文楷体"/>
          <w:b/>
          <w:bCs/>
          <w:sz w:val="28"/>
          <w:szCs w:val="28"/>
        </w:rPr>
        <w:t>账    号：6550010113658</w:t>
      </w:r>
    </w:p>
    <w:p>
      <w:pPr>
        <w:spacing w:line="240" w:lineRule="auto"/>
        <w:ind w:firstLine="0" w:firstLineChars="0"/>
        <w:jc w:val="left"/>
        <w:rPr>
          <w:rFonts w:ascii="华文楷体" w:hAnsi="华文楷体" w:eastAsia="华文楷体" w:cs="华文楷体"/>
          <w:b/>
          <w:bCs/>
          <w:sz w:val="28"/>
          <w:szCs w:val="28"/>
        </w:rPr>
      </w:pPr>
      <w:r>
        <w:rPr>
          <w:rFonts w:ascii="华文楷体" w:hAnsi="华文楷体" w:eastAsia="华文楷体" w:cs="华文楷体"/>
          <w:b/>
          <w:bCs/>
          <w:sz w:val="28"/>
          <w:szCs w:val="28"/>
        </w:rPr>
        <w:t>电汇时请备注注明：HNZB3</w:t>
      </w:r>
      <w:r>
        <w:rPr>
          <w:rFonts w:hint="eastAsia" w:ascii="华文楷体" w:hAnsi="华文楷体" w:eastAsia="华文楷体" w:cs="华文楷体"/>
          <w:b/>
          <w:bCs/>
          <w:sz w:val="28"/>
          <w:szCs w:val="28"/>
        </w:rPr>
        <w:t>CJ或项目名称</w:t>
      </w:r>
      <w:r>
        <w:rPr>
          <w:rFonts w:ascii="华文楷体" w:hAnsi="华文楷体" w:eastAsia="华文楷体" w:cs="华文楷体"/>
          <w:b/>
          <w:bCs/>
          <w:sz w:val="28"/>
          <w:szCs w:val="28"/>
        </w:rPr>
        <w:t>。</w:t>
      </w:r>
    </w:p>
    <w:p>
      <w:pPr>
        <w:numPr>
          <w:ilvl w:val="0"/>
          <w:numId w:val="1"/>
        </w:numPr>
        <w:spacing w:line="240" w:lineRule="auto"/>
        <w:ind w:firstLine="561"/>
        <w:jc w:val="left"/>
        <w:rPr>
          <w:rFonts w:ascii="华文楷体" w:hAnsi="华文楷体" w:eastAsia="华文楷体" w:cs="华文楷体"/>
          <w:b/>
          <w:bCs/>
          <w:sz w:val="28"/>
          <w:szCs w:val="28"/>
        </w:rPr>
      </w:pPr>
      <w:r>
        <w:rPr>
          <w:rFonts w:ascii="华文楷体" w:hAnsi="华文楷体" w:eastAsia="华文楷体" w:cs="华文楷体"/>
          <w:b/>
          <w:bCs/>
          <w:sz w:val="28"/>
          <w:szCs w:val="28"/>
        </w:rPr>
        <w:t>合同的签署时需提供由采购代理华能招标发出的“成交通知书</w:t>
      </w:r>
      <w:r>
        <w:rPr>
          <w:rFonts w:hint="eastAsia" w:ascii="华文楷体" w:hAnsi="华文楷体" w:eastAsia="华文楷体" w:cs="华文楷体"/>
          <w:b/>
          <w:bCs/>
          <w:sz w:val="28"/>
          <w:szCs w:val="28"/>
        </w:rPr>
        <w:t>，</w:t>
      </w:r>
      <w:r>
        <w:rPr>
          <w:rFonts w:ascii="华文楷体" w:hAnsi="华文楷体" w:eastAsia="华文楷体" w:cs="华文楷体"/>
          <w:b/>
          <w:bCs/>
          <w:sz w:val="28"/>
          <w:szCs w:val="28"/>
        </w:rPr>
        <w:t>在接到通知书后，请</w:t>
      </w:r>
      <w:r>
        <w:rPr>
          <w:rFonts w:hint="eastAsia" w:ascii="华文楷体" w:hAnsi="华文楷体" w:eastAsia="华文楷体" w:cs="华文楷体"/>
          <w:b/>
          <w:bCs/>
          <w:sz w:val="28"/>
          <w:szCs w:val="28"/>
        </w:rPr>
        <w:t>在规定的</w:t>
      </w:r>
      <w:r>
        <w:rPr>
          <w:rFonts w:ascii="华文楷体" w:hAnsi="华文楷体" w:eastAsia="华文楷体" w:cs="华文楷体"/>
          <w:b/>
          <w:bCs/>
          <w:sz w:val="28"/>
          <w:szCs w:val="28"/>
        </w:rPr>
        <w:t>时间内和联系人办理签署合同事宜。</w:t>
      </w:r>
    </w:p>
    <w:p>
      <w:pPr>
        <w:spacing w:line="360" w:lineRule="auto"/>
        <w:ind w:firstLine="2160" w:firstLineChars="600"/>
        <w:rPr>
          <w:rFonts w:eastAsia="黑体"/>
          <w:sz w:val="36"/>
          <w:szCs w:val="22"/>
        </w:rPr>
      </w:pPr>
      <w:r>
        <w:rPr>
          <w:rFonts w:hint="eastAsia" w:eastAsia="黑体"/>
          <w:sz w:val="36"/>
          <w:szCs w:val="22"/>
        </w:rPr>
        <w:t>华能蒙东公司根河热电公司</w:t>
      </w:r>
    </w:p>
    <w:p>
      <w:pPr>
        <w:spacing w:line="360" w:lineRule="auto"/>
        <w:ind w:firstLine="1080" w:firstLineChars="300"/>
        <w:rPr>
          <w:rFonts w:eastAsia="黑体"/>
          <w:sz w:val="36"/>
          <w:szCs w:val="22"/>
        </w:rPr>
      </w:pPr>
      <w:r>
        <w:rPr>
          <w:rFonts w:hint="eastAsia" w:eastAsia="黑体"/>
          <w:sz w:val="36"/>
          <w:szCs w:val="22"/>
        </w:rPr>
        <w:t>2022年12月耐火浇注料等购置询价</w:t>
      </w:r>
      <w:r>
        <w:rPr>
          <w:rFonts w:eastAsia="黑体"/>
          <w:sz w:val="36"/>
          <w:szCs w:val="22"/>
        </w:rPr>
        <w:t>公告</w:t>
      </w:r>
    </w:p>
    <w:p>
      <w:pPr>
        <w:spacing w:before="120"/>
        <w:ind w:firstLine="0" w:firstLineChars="0"/>
      </w:pPr>
    </w:p>
    <w:p>
      <w:pPr>
        <w:pStyle w:val="3"/>
        <w:spacing w:before="156"/>
      </w:pPr>
      <w:bookmarkStart w:id="0" w:name="_Toc369531507"/>
      <w:bookmarkEnd w:id="0"/>
      <w:bookmarkStart w:id="1" w:name="_Toc361508574"/>
      <w:bookmarkEnd w:id="1"/>
      <w:bookmarkStart w:id="2" w:name="_Toc384308199"/>
      <w:bookmarkEnd w:id="2"/>
      <w:bookmarkStart w:id="3" w:name="_Toc352691465"/>
      <w:bookmarkEnd w:id="3"/>
      <w:bookmarkStart w:id="4" w:name="_Toc18885"/>
      <w:bookmarkEnd w:id="4"/>
      <w:bookmarkStart w:id="5" w:name="_Toc384308200"/>
      <w:bookmarkStart w:id="6" w:name="_Toc361508575"/>
      <w:r>
        <w:rPr>
          <w:rFonts w:hint="eastAsia"/>
        </w:rPr>
        <w:t>一、</w:t>
      </w:r>
      <w:r>
        <w:t>项目介绍</w:t>
      </w:r>
    </w:p>
    <w:p>
      <w:pPr>
        <w:ind w:firstLine="480"/>
        <w:rPr>
          <w:rFonts w:ascii="宋体" w:hAnsi="宋体" w:cs="宋体"/>
          <w:szCs w:val="24"/>
          <w:highlight w:val="yellow"/>
        </w:rPr>
      </w:pPr>
      <w:r>
        <w:rPr>
          <w:rFonts w:hint="eastAsia" w:ascii="宋体" w:hAnsi="宋体" w:cs="宋体"/>
          <w:szCs w:val="24"/>
          <w:highlight w:val="yellow"/>
        </w:rPr>
        <w:t>1.</w:t>
      </w:r>
      <w:r>
        <w:rPr>
          <w:rFonts w:ascii="宋体" w:hAnsi="宋体" w:cs="宋体"/>
          <w:szCs w:val="24"/>
          <w:highlight w:val="yellow"/>
        </w:rPr>
        <w:t xml:space="preserve"> </w:t>
      </w:r>
      <w:r>
        <w:rPr>
          <w:rFonts w:hint="eastAsia" w:ascii="宋体" w:hAnsi="宋体" w:cs="宋体"/>
          <w:szCs w:val="24"/>
          <w:highlight w:val="yellow"/>
        </w:rPr>
        <w:t>项目概况：</w:t>
      </w:r>
      <w:r>
        <w:rPr>
          <w:rFonts w:hint="eastAsia" w:ascii="宋体" w:hAnsi="宋体" w:cs="宋体"/>
          <w:szCs w:val="24"/>
          <w:u w:val="single"/>
        </w:rPr>
        <w:t>根河热电公司2022年12月耐火浇注料等购置</w:t>
      </w:r>
      <w:r>
        <w:rPr>
          <w:rFonts w:hint="eastAsia" w:ascii="宋体" w:hAnsi="宋体" w:cs="宋体"/>
          <w:szCs w:val="24"/>
          <w:highlight w:val="yellow"/>
        </w:rPr>
        <w:t>。</w:t>
      </w:r>
    </w:p>
    <w:p>
      <w:pPr>
        <w:ind w:firstLine="480"/>
        <w:rPr>
          <w:rFonts w:ascii="宋体" w:hAnsi="宋体" w:cs="宋体"/>
          <w:szCs w:val="24"/>
          <w:highlight w:val="yellow"/>
        </w:rPr>
      </w:pPr>
      <w:r>
        <w:rPr>
          <w:rFonts w:hint="eastAsia" w:ascii="宋体" w:hAnsi="宋体" w:cs="宋体"/>
          <w:szCs w:val="24"/>
          <w:highlight w:val="yellow"/>
        </w:rPr>
        <w:t>2.</w:t>
      </w:r>
      <w:r>
        <w:rPr>
          <w:rFonts w:ascii="宋体" w:hAnsi="宋体" w:cs="宋体"/>
          <w:szCs w:val="24"/>
          <w:highlight w:val="yellow"/>
        </w:rPr>
        <w:t xml:space="preserve"> </w:t>
      </w:r>
      <w:r>
        <w:rPr>
          <w:rFonts w:hint="eastAsia" w:ascii="宋体" w:hAnsi="宋体" w:cs="宋体"/>
          <w:szCs w:val="24"/>
          <w:highlight w:val="yellow"/>
        </w:rPr>
        <w:t>交货/施工/服务地点：</w:t>
      </w:r>
      <w:r>
        <w:rPr>
          <w:rFonts w:hint="eastAsia"/>
          <w:szCs w:val="24"/>
        </w:rPr>
        <w:t>根河光明热电有限责任公司院内落地交货</w:t>
      </w:r>
      <w:r>
        <w:rPr>
          <w:rFonts w:hint="eastAsia" w:ascii="宋体" w:hAnsi="宋体" w:cs="宋体"/>
          <w:szCs w:val="24"/>
          <w:highlight w:val="yellow"/>
        </w:rPr>
        <w:t>。</w:t>
      </w:r>
    </w:p>
    <w:p>
      <w:pPr>
        <w:ind w:firstLine="480"/>
        <w:rPr>
          <w:rFonts w:ascii="宋体" w:hAnsi="宋体" w:cs="宋体"/>
          <w:szCs w:val="24"/>
          <w:highlight w:val="yellow"/>
        </w:rPr>
      </w:pPr>
      <w:r>
        <w:rPr>
          <w:rFonts w:hint="eastAsia" w:ascii="宋体" w:hAnsi="宋体" w:cs="宋体"/>
          <w:szCs w:val="24"/>
          <w:highlight w:val="yellow"/>
        </w:rPr>
        <w:t>3.</w:t>
      </w:r>
      <w:r>
        <w:rPr>
          <w:rFonts w:ascii="宋体" w:hAnsi="宋体" w:cs="宋体"/>
          <w:szCs w:val="24"/>
          <w:highlight w:val="yellow"/>
        </w:rPr>
        <w:t xml:space="preserve"> </w:t>
      </w:r>
      <w:r>
        <w:rPr>
          <w:rFonts w:hint="eastAsia" w:ascii="宋体" w:hAnsi="宋体" w:cs="宋体"/>
          <w:szCs w:val="24"/>
          <w:highlight w:val="yellow"/>
        </w:rPr>
        <w:t>采购内容：</w:t>
      </w:r>
      <w:r>
        <w:rPr>
          <w:rFonts w:hint="eastAsia" w:ascii="宋体" w:hAnsi="宋体" w:cs="宋体"/>
          <w:szCs w:val="24"/>
          <w:u w:val="single"/>
        </w:rPr>
        <w:t>根河热电公司2022年12月耐火浇注料等购置</w:t>
      </w:r>
      <w:r>
        <w:rPr>
          <w:rFonts w:hint="eastAsia" w:ascii="宋体" w:hAnsi="宋体" w:cs="宋体"/>
          <w:szCs w:val="24"/>
          <w:highlight w:val="yellow"/>
        </w:rPr>
        <w:t>。</w:t>
      </w:r>
    </w:p>
    <w:p>
      <w:pPr>
        <w:ind w:firstLine="480"/>
        <w:rPr>
          <w:rFonts w:ascii="宋体" w:hAnsi="宋体" w:cs="宋体"/>
          <w:szCs w:val="24"/>
          <w:highlight w:val="yellow"/>
        </w:rPr>
      </w:pPr>
      <w:r>
        <w:rPr>
          <w:rFonts w:hint="eastAsia" w:ascii="宋体" w:hAnsi="宋体" w:cs="宋体"/>
          <w:szCs w:val="24"/>
          <w:highlight w:val="yellow"/>
        </w:rPr>
        <w:t>4.</w:t>
      </w:r>
      <w:r>
        <w:rPr>
          <w:rFonts w:ascii="宋体" w:hAnsi="宋体" w:cs="宋体"/>
          <w:szCs w:val="24"/>
          <w:highlight w:val="yellow"/>
        </w:rPr>
        <w:t xml:space="preserve"> </w:t>
      </w:r>
      <w:r>
        <w:rPr>
          <w:rFonts w:hint="eastAsia" w:ascii="宋体" w:hAnsi="宋体" w:cs="宋体"/>
          <w:szCs w:val="24"/>
          <w:highlight w:val="yellow"/>
        </w:rPr>
        <w:t>交货期/施工期/服务期：</w:t>
      </w:r>
      <w:r>
        <w:rPr>
          <w:rFonts w:hint="eastAsia" w:ascii="宋体" w:hAnsi="宋体"/>
        </w:rPr>
        <w:t>接到中标通知后15日内</w:t>
      </w:r>
      <w:r>
        <w:rPr>
          <w:rFonts w:hint="eastAsia" w:ascii="宋体" w:hAnsi="宋体" w:cs="宋体"/>
          <w:szCs w:val="24"/>
          <w:highlight w:val="yellow"/>
        </w:rPr>
        <w:t>。</w:t>
      </w:r>
    </w:p>
    <w:p>
      <w:pPr>
        <w:ind w:firstLine="480"/>
        <w:rPr>
          <w:rFonts w:ascii="宋体" w:hAnsi="宋体" w:cs="宋体"/>
          <w:szCs w:val="24"/>
          <w:highlight w:val="yellow"/>
        </w:rPr>
      </w:pPr>
      <w:r>
        <w:rPr>
          <w:rFonts w:hint="eastAsia" w:ascii="宋体" w:hAnsi="宋体" w:cs="宋体"/>
          <w:szCs w:val="24"/>
          <w:highlight w:val="yellow"/>
        </w:rPr>
        <w:t>5</w:t>
      </w:r>
      <w:r>
        <w:rPr>
          <w:rFonts w:ascii="宋体" w:hAnsi="宋体" w:cs="宋体"/>
          <w:szCs w:val="24"/>
          <w:highlight w:val="yellow"/>
        </w:rPr>
        <w:t xml:space="preserve">. </w:t>
      </w:r>
      <w:r>
        <w:rPr>
          <w:rFonts w:hint="eastAsia" w:ascii="宋体" w:hAnsi="宋体" w:cs="宋体"/>
          <w:szCs w:val="24"/>
          <w:highlight w:val="yellow"/>
        </w:rPr>
        <w:t>其他需要说明内容：</w:t>
      </w:r>
      <w:r>
        <w:rPr>
          <w:rFonts w:hint="eastAsia" w:ascii="宋体" w:hAnsi="宋体" w:cs="宋体"/>
          <w:szCs w:val="24"/>
          <w:highlight w:val="yellow"/>
          <w:u w:val="single"/>
        </w:rPr>
        <w:t xml:space="preserve"> </w:t>
      </w:r>
      <w:r>
        <w:rPr>
          <w:rFonts w:ascii="宋体" w:hAnsi="宋体" w:cs="宋体"/>
          <w:szCs w:val="24"/>
          <w:highlight w:val="yellow"/>
          <w:u w:val="single"/>
        </w:rPr>
        <w:t xml:space="preserve">                      </w:t>
      </w:r>
      <w:r>
        <w:rPr>
          <w:rFonts w:hint="eastAsia" w:ascii="宋体" w:hAnsi="宋体" w:cs="宋体"/>
          <w:szCs w:val="24"/>
          <w:highlight w:val="yellow"/>
        </w:rPr>
        <w:t>。</w:t>
      </w:r>
    </w:p>
    <w:p>
      <w:pPr>
        <w:pStyle w:val="3"/>
        <w:spacing w:before="156"/>
      </w:pPr>
      <w:r>
        <w:rPr>
          <w:rFonts w:hint="eastAsia"/>
        </w:rPr>
        <w:t>二、报价须知</w:t>
      </w:r>
    </w:p>
    <w:p>
      <w:pPr>
        <w:ind w:firstLine="480"/>
      </w:pPr>
      <w:r>
        <w:t xml:space="preserve">1. </w:t>
      </w:r>
      <w:r>
        <w:rPr>
          <w:rFonts w:hint="eastAsia"/>
        </w:rPr>
        <w:t>供应商资格要求：</w:t>
      </w:r>
    </w:p>
    <w:p>
      <w:pPr>
        <w:ind w:firstLine="480"/>
        <w:jc w:val="left"/>
      </w:pPr>
      <w:r>
        <w:rPr>
          <w:rFonts w:hint="eastAsia"/>
        </w:rPr>
        <w:t>（1）供应商须为华能集团供应商库内合格供应商，且未处于暂停参加采购活动的处罚期限内，满足供应商参与业务的权限。</w:t>
      </w:r>
    </w:p>
    <w:p>
      <w:pPr>
        <w:ind w:firstLine="480"/>
        <w:jc w:val="left"/>
      </w:pPr>
      <w:r>
        <w:rPr>
          <w:rFonts w:hint="eastAsia"/>
        </w:rPr>
        <w:t>（</w:t>
      </w:r>
      <w:r>
        <w:t>2</w:t>
      </w:r>
      <w:r>
        <w:rPr>
          <w:rFonts w:hint="eastAsia"/>
        </w:rPr>
        <w:t>）近三年没有严重违约，没有经鉴定部门认定的因其产品/服务/工程引起的重大及以上质量事故或重大及以上安全事故；</w:t>
      </w:r>
    </w:p>
    <w:p>
      <w:pPr>
        <w:ind w:firstLine="480"/>
        <w:jc w:val="left"/>
      </w:pPr>
      <w:r>
        <w:rPr>
          <w:rFonts w:hint="eastAsia"/>
        </w:rPr>
        <w:t>（</w:t>
      </w:r>
      <w:r>
        <w:t>3</w:t>
      </w:r>
      <w:r>
        <w:rPr>
          <w:rFonts w:hint="eastAsia"/>
        </w:rPr>
        <w:t>）未被市场监督管理部门在全国企业信用信息公示系统中列入经营异常名录或者严重违法企业名单；</w:t>
      </w:r>
    </w:p>
    <w:p>
      <w:pPr>
        <w:ind w:firstLine="480"/>
        <w:jc w:val="left"/>
      </w:pPr>
      <w:r>
        <w:rPr>
          <w:rFonts w:hint="eastAsia"/>
        </w:rPr>
        <w:t>（</w:t>
      </w:r>
      <w:r>
        <w:t>4</w:t>
      </w:r>
      <w:r>
        <w:rPr>
          <w:rFonts w:hint="eastAsia"/>
        </w:rPr>
        <w:t>）未被最高人民法院在“信用中国”网站（www.creditchina.gov.cn）或各级信用信息共享平台中列入失信被执行人名单；</w:t>
      </w:r>
    </w:p>
    <w:p>
      <w:pPr>
        <w:ind w:firstLine="480"/>
        <w:jc w:val="left"/>
      </w:pPr>
      <w:r>
        <w:rPr>
          <w:rFonts w:hint="eastAsia"/>
        </w:rPr>
        <w:t>（</w:t>
      </w:r>
      <w:r>
        <w:t>5</w:t>
      </w:r>
      <w:r>
        <w:rPr>
          <w:rFonts w:hint="eastAsia"/>
        </w:rPr>
        <w:t>）不存在不同供应商的响应文件的互联网协议地址（</w:t>
      </w:r>
      <w:r>
        <w:t>IP</w:t>
      </w:r>
      <w:r>
        <w:rPr>
          <w:rFonts w:hint="eastAsia"/>
        </w:rPr>
        <w:t>地址）信息检查一致的情况。</w:t>
      </w:r>
    </w:p>
    <w:p>
      <w:pPr>
        <w:ind w:firstLine="480"/>
        <w:jc w:val="left"/>
      </w:pPr>
      <w:r>
        <w:rPr>
          <w:rFonts w:hint="eastAsia"/>
        </w:rPr>
        <w:t>（6） 与采购人存在利害关系可能影响采购公正性的法人、其他组织或者个人，不得参加询价；单位负责人为同一人或者存在控股、管理关系的不同单位，不得参加同一询价项目。</w:t>
      </w:r>
    </w:p>
    <w:p>
      <w:pPr>
        <w:ind w:firstLine="480"/>
        <w:jc w:val="left"/>
      </w:pPr>
      <w:r>
        <w:rPr>
          <w:rFonts w:hint="eastAsia"/>
        </w:rPr>
        <w:t>（</w:t>
      </w:r>
      <w:r>
        <w:t>7</w:t>
      </w:r>
      <w:r>
        <w:rPr>
          <w:rFonts w:hint="eastAsia"/>
        </w:rPr>
        <w:t>）不存在违反国家相关法规和华能集团相关制度的情况。</w:t>
      </w:r>
    </w:p>
    <w:p>
      <w:pPr>
        <w:ind w:firstLine="480"/>
      </w:pPr>
      <w:r>
        <w:t xml:space="preserve">2. </w:t>
      </w:r>
      <w:r>
        <w:rPr>
          <w:rFonts w:hint="eastAsia"/>
        </w:rPr>
        <w:t>报价要求：</w:t>
      </w:r>
    </w:p>
    <w:p>
      <w:pPr>
        <w:ind w:firstLine="480"/>
        <w:rPr>
          <w:u w:val="single"/>
        </w:rPr>
      </w:pPr>
      <w:r>
        <w:rPr>
          <w:rFonts w:hint="eastAsia"/>
        </w:rPr>
        <w:t>本次报价要求为</w:t>
      </w:r>
      <w:r>
        <w:rPr>
          <w:rFonts w:hint="eastAsia"/>
        </w:rPr>
        <w:sym w:font="Wingdings" w:char="F0FE"/>
      </w:r>
      <w:r>
        <w:rPr>
          <w:rFonts w:hint="eastAsia"/>
        </w:rPr>
        <w:t>含税</w:t>
      </w:r>
      <w:bookmarkStart w:id="7" w:name="_GoBack"/>
      <w:bookmarkEnd w:id="7"/>
      <w:r>
        <w:rPr>
          <w:rFonts w:hint="eastAsia"/>
        </w:rPr>
        <w:t>价/□不含税价，需提供增值税发票类型：</w:t>
      </w:r>
      <w:r>
        <w:rPr>
          <w:rFonts w:hint="eastAsia"/>
        </w:rPr>
        <w:sym w:font="Wingdings" w:char="F0FE"/>
      </w:r>
      <w:r>
        <w:rPr>
          <w:rFonts w:hint="eastAsia"/>
        </w:rPr>
        <w:t>专用/□</w:t>
      </w:r>
      <w:r>
        <w:rPr>
          <w:rFonts w:hint="eastAsia"/>
          <w:highlight w:val="yellow"/>
          <w:u w:val="single"/>
        </w:rPr>
        <w:t>普通/□不作要求</w:t>
      </w:r>
      <w:r>
        <w:rPr>
          <w:rFonts w:hint="eastAsia"/>
        </w:rPr>
        <w:t>，税率要求：</w:t>
      </w:r>
      <w:r>
        <w:rPr>
          <w:highlight w:val="yellow"/>
          <w:u w:val="single"/>
        </w:rPr>
        <w:t xml:space="preserve">   </w:t>
      </w:r>
      <w:r>
        <w:rPr>
          <w:rFonts w:hint="eastAsia"/>
          <w:highlight w:val="yellow"/>
          <w:u w:val="single"/>
        </w:rPr>
        <w:t>13</w:t>
      </w:r>
      <w:r>
        <w:rPr>
          <w:highlight w:val="yellow"/>
          <w:u w:val="single"/>
        </w:rPr>
        <w:t xml:space="preserve"> %</w:t>
      </w:r>
      <w:r>
        <w:rPr>
          <w:rFonts w:hint="eastAsia"/>
        </w:rPr>
        <w:t>。</w:t>
      </w:r>
    </w:p>
    <w:p>
      <w:pPr>
        <w:ind w:firstLine="480"/>
      </w:pPr>
      <w:r>
        <w:t xml:space="preserve">3. </w:t>
      </w:r>
      <w:r>
        <w:rPr>
          <w:rFonts w:hint="eastAsia"/>
        </w:rPr>
        <w:t>价格评审：</w:t>
      </w:r>
    </w:p>
    <w:p>
      <w:pPr>
        <w:ind w:firstLine="480"/>
        <w:rPr>
          <w:highlight w:val="yellow"/>
        </w:rPr>
      </w:pPr>
      <w:r>
        <w:rPr>
          <w:rFonts w:hint="eastAsia"/>
        </w:rPr>
        <w:sym w:font="Wingdings" w:char="F0FE"/>
      </w:r>
      <w:r>
        <w:rPr>
          <w:rFonts w:hint="eastAsia"/>
          <w:highlight w:val="yellow"/>
        </w:rPr>
        <w:t>以含税总价进行评审。</w:t>
      </w:r>
    </w:p>
    <w:p>
      <w:pPr>
        <w:ind w:firstLine="480"/>
        <w:rPr>
          <w:highlight w:val="yellow"/>
        </w:rPr>
      </w:pPr>
      <w:r>
        <w:rPr>
          <w:rFonts w:hint="eastAsia"/>
          <w:highlight w:val="yellow"/>
        </w:rPr>
        <w:t>□其他：</w:t>
      </w:r>
      <w:r>
        <w:rPr>
          <w:rFonts w:hint="eastAsia"/>
          <w:highlight w:val="yellow"/>
          <w:u w:val="single"/>
        </w:rPr>
        <w:t xml:space="preserve"> </w:t>
      </w:r>
      <w:r>
        <w:rPr>
          <w:highlight w:val="yellow"/>
          <w:u w:val="single"/>
        </w:rPr>
        <w:t xml:space="preserve">                                  </w:t>
      </w:r>
      <w:r>
        <w:rPr>
          <w:rFonts w:hint="eastAsia"/>
          <w:highlight w:val="yellow"/>
        </w:rPr>
        <w:t>。</w:t>
      </w:r>
    </w:p>
    <w:p>
      <w:pPr>
        <w:ind w:firstLine="480"/>
      </w:pPr>
      <w:r>
        <w:t xml:space="preserve">4. </w:t>
      </w:r>
      <w:r>
        <w:rPr>
          <w:rFonts w:hint="eastAsia"/>
        </w:rPr>
        <w:t>成交候选供应商推荐原则：本项目评审办法采用最低价法。按照供应商报价由低到高的顺序依次推荐成交候选供应商。若价格相同，按照提交报价时间由先到后顺序推荐成交候选供应商。</w:t>
      </w:r>
    </w:p>
    <w:p>
      <w:pPr>
        <w:ind w:firstLine="480"/>
      </w:pPr>
      <w:r>
        <w:rPr>
          <w:rFonts w:hint="eastAsia"/>
        </w:rPr>
        <w:t>本项目</w:t>
      </w:r>
      <w:r>
        <w:rPr>
          <w:rFonts w:hint="eastAsia"/>
        </w:rPr>
        <w:sym w:font="Wingdings" w:char="F0FE"/>
      </w:r>
      <w:r>
        <w:rPr>
          <w:rFonts w:hint="eastAsia"/>
        </w:rPr>
        <w:t>只能有一个成交供应商；</w:t>
      </w:r>
    </w:p>
    <w:p>
      <w:pPr>
        <w:ind w:firstLine="1200" w:firstLineChars="500"/>
        <w:rPr>
          <w:rFonts w:ascii="宋体" w:hAnsi="宋体" w:cs="宋体"/>
          <w:szCs w:val="24"/>
          <w:highlight w:val="yellow"/>
        </w:rPr>
      </w:pPr>
      <w:r>
        <w:rPr>
          <w:rFonts w:hint="eastAsia"/>
          <w:highlight w:val="yellow"/>
        </w:rPr>
        <w:sym w:font="Wingdings 2" w:char="00A3"/>
      </w:r>
      <w:r>
        <w:rPr>
          <w:rFonts w:hint="eastAsia"/>
          <w:highlight w:val="yellow"/>
        </w:rPr>
        <w:t>允许多个成交供应商，成交原则是</w:t>
      </w:r>
      <w:r>
        <w:rPr>
          <w:rFonts w:hint="eastAsia"/>
          <w:highlight w:val="yellow"/>
          <w:u w:val="single"/>
        </w:rPr>
        <w:t xml:space="preserve"> </w:t>
      </w:r>
      <w:r>
        <w:rPr>
          <w:rFonts w:hint="eastAsia"/>
          <w:highlight w:val="yellow"/>
          <w:u w:val="single"/>
        </w:rPr>
        <w:sym w:font="Wingdings 2" w:char="00A3"/>
      </w:r>
      <w:r>
        <w:rPr>
          <w:rFonts w:hint="eastAsia"/>
          <w:highlight w:val="yellow"/>
          <w:u w:val="single"/>
        </w:rPr>
        <w:t>单行单价最低推荐成交候选供应商/</w:t>
      </w:r>
      <w:r>
        <w:rPr>
          <w:highlight w:val="yellow"/>
          <w:u w:val="single"/>
        </w:rPr>
        <w:t xml:space="preserve"> </w:t>
      </w:r>
      <w:r>
        <w:rPr>
          <w:rFonts w:hint="eastAsia"/>
          <w:highlight w:val="yellow"/>
          <w:u w:val="single"/>
        </w:rPr>
        <w:t>□其他：</w:t>
      </w:r>
      <w:r>
        <w:rPr>
          <w:highlight w:val="yellow"/>
          <w:u w:val="single"/>
        </w:rPr>
        <w:t xml:space="preserve">                 </w:t>
      </w:r>
      <w:r>
        <w:rPr>
          <w:rFonts w:hint="eastAsia" w:ascii="宋体" w:hAnsi="宋体" w:cs="宋体"/>
          <w:szCs w:val="24"/>
          <w:highlight w:val="yellow"/>
        </w:rPr>
        <w:t>。</w:t>
      </w:r>
    </w:p>
    <w:p>
      <w:pPr>
        <w:numPr>
          <w:ilvl w:val="0"/>
          <w:numId w:val="2"/>
        </w:numPr>
        <w:ind w:firstLine="480"/>
      </w:pPr>
      <w:r>
        <w:rPr>
          <w:rFonts w:hint="eastAsia"/>
        </w:rPr>
        <w:t>本项目</w:t>
      </w:r>
      <w:r>
        <w:rPr>
          <w:rFonts w:hint="eastAsia"/>
          <w:u w:val="single"/>
        </w:rPr>
        <w:sym w:font="Wingdings 2" w:char="0052"/>
      </w:r>
      <w:r>
        <w:rPr>
          <w:rFonts w:hint="eastAsia"/>
          <w:u w:val="single"/>
        </w:rPr>
        <w:t>是 /</w:t>
      </w:r>
      <w:r>
        <w:rPr>
          <w:u w:val="single"/>
        </w:rPr>
        <w:t xml:space="preserve"> </w:t>
      </w:r>
      <w:r>
        <w:rPr>
          <w:rFonts w:hint="eastAsia"/>
          <w:u w:val="single"/>
        </w:rPr>
        <w:t>□不是</w:t>
      </w:r>
      <w:r>
        <w:rPr>
          <w:rFonts w:hint="eastAsia"/>
        </w:rPr>
        <w:t>采购代理项目，收取采购代理服务费，收费标准：</w:t>
      </w:r>
    </w:p>
    <w:p>
      <w:pPr>
        <w:pStyle w:val="25"/>
        <w:tabs>
          <w:tab w:val="left" w:pos="312"/>
        </w:tabs>
        <w:ind w:left="420" w:leftChars="175" w:firstLine="480"/>
      </w:pPr>
      <w:r>
        <w:rPr>
          <w:rFonts w:hint="eastAsia"/>
        </w:rPr>
        <w:t>详见首页。</w:t>
      </w:r>
    </w:p>
    <w:p>
      <w:pPr>
        <w:ind w:firstLine="480"/>
      </w:pPr>
      <w:r>
        <w:rPr>
          <w:rFonts w:hint="eastAsia"/>
        </w:rPr>
        <w:t xml:space="preserve">□其他： </w:t>
      </w:r>
      <w:r>
        <w:t xml:space="preserve">                       </w:t>
      </w:r>
      <w:r>
        <w:rPr>
          <w:rFonts w:hint="eastAsia"/>
        </w:rPr>
        <w:t xml:space="preserve"> 。</w:t>
      </w:r>
    </w:p>
    <w:p>
      <w:pPr>
        <w:pStyle w:val="3"/>
        <w:spacing w:before="156"/>
      </w:pPr>
      <w:r>
        <w:rPr>
          <w:rFonts w:hint="eastAsia"/>
        </w:rPr>
        <w:t>三、</w:t>
      </w:r>
      <w:r>
        <w:t>基本信息</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2131"/>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9" w:type="dxa"/>
            <w:shd w:val="clear" w:color="auto" w:fill="auto"/>
            <w:vAlign w:val="center"/>
          </w:tcPr>
          <w:p>
            <w:pPr>
              <w:widowControl/>
              <w:spacing w:line="240" w:lineRule="auto"/>
              <w:ind w:firstLine="0" w:firstLineChars="0"/>
              <w:jc w:val="center"/>
              <w:rPr>
                <w:rFonts w:ascii="宋体" w:hAnsi="宋体" w:cs="宋体"/>
                <w:sz w:val="21"/>
                <w:szCs w:val="21"/>
                <w:highlight w:val="yellow"/>
              </w:rPr>
            </w:pPr>
            <w:r>
              <w:rPr>
                <w:rFonts w:hint="eastAsia" w:ascii="宋体" w:hAnsi="宋体" w:cs="宋体"/>
                <w:kern w:val="0"/>
                <w:sz w:val="21"/>
                <w:szCs w:val="21"/>
                <w:highlight w:val="yellow"/>
              </w:rPr>
              <w:t>采购方案名称</w:t>
            </w:r>
          </w:p>
        </w:tc>
        <w:tc>
          <w:tcPr>
            <w:tcW w:w="2131" w:type="dxa"/>
            <w:shd w:val="clear" w:color="auto" w:fill="auto"/>
            <w:vAlign w:val="center"/>
          </w:tcPr>
          <w:p>
            <w:pPr>
              <w:widowControl/>
              <w:spacing w:line="240" w:lineRule="auto"/>
              <w:ind w:firstLine="480"/>
              <w:jc w:val="center"/>
              <w:rPr>
                <w:rFonts w:ascii="宋体" w:hAnsi="宋体" w:cs="宋体"/>
                <w:sz w:val="21"/>
                <w:szCs w:val="21"/>
                <w:highlight w:val="yellow"/>
              </w:rPr>
            </w:pPr>
            <w:r>
              <w:rPr>
                <w:rFonts w:hint="eastAsia" w:ascii="宋体" w:hAnsi="宋体" w:cs="宋体"/>
                <w:szCs w:val="24"/>
                <w:u w:val="single"/>
              </w:rPr>
              <w:t>根河热电公司2022年12月耐火浇注料等购置</w:t>
            </w:r>
          </w:p>
        </w:tc>
        <w:tc>
          <w:tcPr>
            <w:tcW w:w="2131" w:type="dxa"/>
            <w:shd w:val="clear" w:color="auto" w:fill="auto"/>
            <w:vAlign w:val="center"/>
          </w:tcPr>
          <w:p>
            <w:pPr>
              <w:widowControl/>
              <w:spacing w:line="240" w:lineRule="auto"/>
              <w:ind w:firstLine="0" w:firstLineChars="0"/>
              <w:jc w:val="center"/>
              <w:rPr>
                <w:rFonts w:ascii="宋体" w:hAnsi="宋体" w:cs="宋体"/>
                <w:sz w:val="21"/>
                <w:szCs w:val="21"/>
                <w:highlight w:val="yellow"/>
              </w:rPr>
            </w:pPr>
            <w:r>
              <w:rPr>
                <w:rFonts w:hint="eastAsia" w:ascii="宋体" w:hAnsi="宋体" w:cs="宋体"/>
                <w:kern w:val="0"/>
                <w:sz w:val="21"/>
                <w:szCs w:val="21"/>
                <w:highlight w:val="yellow"/>
              </w:rPr>
              <w:t>采购单位</w:t>
            </w:r>
          </w:p>
        </w:tc>
        <w:tc>
          <w:tcPr>
            <w:tcW w:w="2131" w:type="dxa"/>
            <w:shd w:val="clear" w:color="auto" w:fill="auto"/>
            <w:vAlign w:val="center"/>
          </w:tcPr>
          <w:p>
            <w:pPr>
              <w:widowControl/>
              <w:spacing w:line="240" w:lineRule="auto"/>
              <w:ind w:firstLine="420"/>
              <w:jc w:val="center"/>
              <w:rPr>
                <w:rFonts w:ascii="宋体" w:hAnsi="宋体" w:cs="宋体"/>
                <w:sz w:val="21"/>
                <w:szCs w:val="21"/>
                <w:highlight w:val="yellow"/>
              </w:rPr>
            </w:pPr>
            <w:r>
              <w:rPr>
                <w:rFonts w:hint="eastAsia" w:ascii="宋体" w:hAnsi="宋体" w:cs="宋体"/>
                <w:sz w:val="21"/>
                <w:szCs w:val="21"/>
                <w:highlight w:val="yellow"/>
              </w:rPr>
              <w:t>根河光明热电有限责任公司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9" w:type="dxa"/>
            <w:shd w:val="clear" w:color="auto" w:fill="auto"/>
            <w:vAlign w:val="center"/>
          </w:tcPr>
          <w:p>
            <w:pPr>
              <w:widowControl/>
              <w:spacing w:line="240" w:lineRule="auto"/>
              <w:ind w:firstLine="0" w:firstLineChars="0"/>
              <w:jc w:val="center"/>
              <w:rPr>
                <w:rFonts w:ascii="宋体" w:hAnsi="宋体" w:cs="宋体"/>
                <w:sz w:val="21"/>
                <w:szCs w:val="21"/>
                <w:highlight w:val="yellow"/>
              </w:rPr>
            </w:pPr>
            <w:r>
              <w:rPr>
                <w:rFonts w:hint="eastAsia" w:ascii="宋体" w:hAnsi="宋体" w:cs="宋体"/>
                <w:kern w:val="0"/>
                <w:sz w:val="21"/>
                <w:szCs w:val="21"/>
                <w:highlight w:val="yellow"/>
              </w:rPr>
              <w:t>采购项目类型</w:t>
            </w:r>
          </w:p>
        </w:tc>
        <w:tc>
          <w:tcPr>
            <w:tcW w:w="2131" w:type="dxa"/>
            <w:shd w:val="clear" w:color="auto" w:fill="auto"/>
            <w:vAlign w:val="center"/>
          </w:tcPr>
          <w:p>
            <w:pPr>
              <w:widowControl/>
              <w:spacing w:line="240" w:lineRule="auto"/>
              <w:ind w:firstLine="420"/>
              <w:jc w:val="center"/>
              <w:rPr>
                <w:rFonts w:ascii="宋体" w:hAnsi="宋体" w:cs="宋体"/>
                <w:sz w:val="21"/>
                <w:szCs w:val="21"/>
                <w:highlight w:val="yellow"/>
              </w:rPr>
            </w:pPr>
            <w:r>
              <w:rPr>
                <w:rFonts w:hint="eastAsia" w:ascii="宋体" w:hAnsi="宋体" w:cs="宋体"/>
                <w:sz w:val="21"/>
                <w:szCs w:val="21"/>
                <w:highlight w:val="yellow"/>
              </w:rPr>
              <w:t>货物/物资</w:t>
            </w:r>
          </w:p>
        </w:tc>
        <w:tc>
          <w:tcPr>
            <w:tcW w:w="2131" w:type="dxa"/>
            <w:shd w:val="clear" w:color="auto" w:fill="auto"/>
            <w:vAlign w:val="center"/>
          </w:tcPr>
          <w:p>
            <w:pPr>
              <w:widowControl/>
              <w:spacing w:line="240" w:lineRule="auto"/>
              <w:ind w:firstLine="0" w:firstLineChars="0"/>
              <w:jc w:val="center"/>
              <w:rPr>
                <w:rFonts w:ascii="宋体" w:hAnsi="宋体" w:cs="宋体"/>
                <w:sz w:val="21"/>
                <w:szCs w:val="21"/>
                <w:highlight w:val="yellow"/>
              </w:rPr>
            </w:pPr>
            <w:r>
              <w:rPr>
                <w:rFonts w:hint="eastAsia" w:ascii="宋体" w:hAnsi="宋体" w:cs="宋体"/>
                <w:kern w:val="0"/>
                <w:sz w:val="21"/>
                <w:szCs w:val="21"/>
                <w:highlight w:val="yellow"/>
              </w:rPr>
              <w:t>采购项目类别</w:t>
            </w:r>
          </w:p>
        </w:tc>
        <w:tc>
          <w:tcPr>
            <w:tcW w:w="2131" w:type="dxa"/>
            <w:shd w:val="clear" w:color="auto" w:fill="auto"/>
            <w:vAlign w:val="center"/>
          </w:tcPr>
          <w:p>
            <w:pPr>
              <w:widowControl/>
              <w:spacing w:line="240" w:lineRule="auto"/>
              <w:ind w:firstLine="420"/>
              <w:jc w:val="center"/>
              <w:rPr>
                <w:rFonts w:ascii="宋体" w:hAnsi="宋体" w:cs="宋体"/>
                <w:sz w:val="21"/>
                <w:szCs w:val="21"/>
                <w:highlight w:val="yellow"/>
              </w:rPr>
            </w:pPr>
            <w:r>
              <w:rPr>
                <w:rFonts w:hint="eastAsia" w:ascii="宋体" w:hAnsi="宋体" w:cs="宋体"/>
                <w:sz w:val="21"/>
                <w:szCs w:val="21"/>
                <w:highlight w:val="yellow"/>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9"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工程项目编号</w:t>
            </w:r>
          </w:p>
        </w:tc>
        <w:tc>
          <w:tcPr>
            <w:tcW w:w="2131" w:type="dxa"/>
            <w:shd w:val="clear" w:color="auto" w:fill="auto"/>
            <w:vAlign w:val="center"/>
          </w:tcPr>
          <w:p>
            <w:pPr>
              <w:spacing w:line="240" w:lineRule="auto"/>
              <w:ind w:firstLine="0" w:firstLineChars="0"/>
              <w:jc w:val="center"/>
              <w:rPr>
                <w:rFonts w:ascii="宋体" w:hAnsi="宋体" w:cs="宋体"/>
                <w:sz w:val="21"/>
                <w:szCs w:val="21"/>
              </w:rPr>
            </w:pPr>
            <w:r>
              <w:rPr>
                <w:rFonts w:hint="eastAsia" w:ascii="宋体" w:hAnsi="宋体" w:cs="宋体"/>
                <w:sz w:val="21"/>
                <w:szCs w:val="21"/>
              </w:rPr>
              <w:t>/</w:t>
            </w:r>
          </w:p>
        </w:tc>
        <w:tc>
          <w:tcPr>
            <w:tcW w:w="2131"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工程项目名称</w:t>
            </w:r>
          </w:p>
        </w:tc>
        <w:tc>
          <w:tcPr>
            <w:tcW w:w="2131" w:type="dxa"/>
            <w:shd w:val="clear" w:color="auto" w:fill="auto"/>
            <w:vAlign w:val="center"/>
          </w:tcPr>
          <w:p>
            <w:pPr>
              <w:spacing w:line="240" w:lineRule="auto"/>
              <w:ind w:firstLine="0" w:firstLineChars="0"/>
              <w:jc w:val="center"/>
              <w:rPr>
                <w:rFonts w:ascii="宋体" w:hAnsi="宋体" w:cs="宋体"/>
                <w:sz w:val="21"/>
                <w:szCs w:val="21"/>
              </w:rPr>
            </w:pP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9"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寻源类型</w:t>
            </w:r>
          </w:p>
        </w:tc>
        <w:tc>
          <w:tcPr>
            <w:tcW w:w="2131"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询价</w:t>
            </w:r>
          </w:p>
        </w:tc>
        <w:tc>
          <w:tcPr>
            <w:tcW w:w="2131"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寻源方式</w:t>
            </w:r>
          </w:p>
        </w:tc>
        <w:tc>
          <w:tcPr>
            <w:tcW w:w="2131"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合格供应商公开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9"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评价原则</w:t>
            </w:r>
          </w:p>
        </w:tc>
        <w:tc>
          <w:tcPr>
            <w:tcW w:w="2131"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最低价法</w:t>
            </w:r>
          </w:p>
        </w:tc>
        <w:tc>
          <w:tcPr>
            <w:tcW w:w="2131" w:type="dxa"/>
            <w:shd w:val="clear" w:color="auto" w:fill="auto"/>
            <w:vAlign w:val="center"/>
          </w:tcPr>
          <w:p>
            <w:pPr>
              <w:widowControl/>
              <w:spacing w:line="240" w:lineRule="auto"/>
              <w:ind w:firstLine="0" w:firstLineChars="0"/>
              <w:jc w:val="center"/>
              <w:rPr>
                <w:rFonts w:ascii="宋体" w:hAnsi="宋体" w:cs="宋体"/>
                <w:sz w:val="21"/>
                <w:szCs w:val="21"/>
                <w:highlight w:val="yellow"/>
              </w:rPr>
            </w:pPr>
            <w:r>
              <w:rPr>
                <w:rFonts w:hint="eastAsia" w:ascii="宋体" w:hAnsi="宋体" w:cs="宋体"/>
                <w:kern w:val="0"/>
                <w:sz w:val="21"/>
                <w:szCs w:val="21"/>
                <w:highlight w:val="yellow"/>
              </w:rPr>
              <w:t>是否紧急采购</w:t>
            </w:r>
          </w:p>
        </w:tc>
        <w:tc>
          <w:tcPr>
            <w:tcW w:w="2131" w:type="dxa"/>
            <w:shd w:val="clear" w:color="auto" w:fill="auto"/>
            <w:vAlign w:val="center"/>
          </w:tcPr>
          <w:p>
            <w:pPr>
              <w:widowControl/>
              <w:spacing w:line="240" w:lineRule="auto"/>
              <w:ind w:firstLine="420"/>
              <w:jc w:val="center"/>
              <w:rPr>
                <w:rFonts w:ascii="宋体" w:hAnsi="宋体" w:cs="宋体"/>
                <w:sz w:val="21"/>
                <w:szCs w:val="21"/>
                <w:highlight w:val="yellow"/>
              </w:rPr>
            </w:pPr>
            <w:r>
              <w:rPr>
                <w:rFonts w:hint="eastAsia" w:ascii="宋体" w:hAnsi="宋体" w:cs="宋体"/>
                <w:sz w:val="21"/>
                <w:szCs w:val="21"/>
                <w:highlight w:val="yellow"/>
              </w:rPr>
              <w:t>否</w:t>
            </w:r>
          </w:p>
        </w:tc>
      </w:tr>
    </w:tbl>
    <w:p>
      <w:pPr>
        <w:pStyle w:val="3"/>
        <w:spacing w:before="156"/>
      </w:pPr>
      <w:r>
        <w:rPr>
          <w:rFonts w:hint="eastAsia"/>
        </w:rPr>
        <w:t>四、</w:t>
      </w:r>
      <w:r>
        <w:t>报价要求</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9"/>
        <w:gridCol w:w="2109"/>
        <w:gridCol w:w="2154"/>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10"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结算币种</w:t>
            </w:r>
          </w:p>
        </w:tc>
        <w:tc>
          <w:tcPr>
            <w:tcW w:w="2311"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人民币</w:t>
            </w:r>
          </w:p>
        </w:tc>
        <w:tc>
          <w:tcPr>
            <w:tcW w:w="2311" w:type="dxa"/>
            <w:shd w:val="clear" w:color="auto" w:fill="auto"/>
            <w:vAlign w:val="center"/>
          </w:tcPr>
          <w:p>
            <w:pPr>
              <w:widowControl/>
              <w:spacing w:line="240" w:lineRule="auto"/>
              <w:ind w:firstLine="0" w:firstLineChars="0"/>
              <w:jc w:val="center"/>
              <w:rPr>
                <w:rFonts w:ascii="宋体" w:hAnsi="宋体" w:cs="宋体"/>
                <w:kern w:val="0"/>
                <w:sz w:val="21"/>
                <w:szCs w:val="21"/>
                <w:highlight w:val="yellow"/>
              </w:rPr>
            </w:pPr>
            <w:r>
              <w:rPr>
                <w:rFonts w:hint="eastAsia" w:ascii="宋体" w:hAnsi="宋体" w:cs="宋体"/>
                <w:kern w:val="0"/>
                <w:sz w:val="21"/>
                <w:szCs w:val="21"/>
              </w:rPr>
              <w:t>报价截止前是否允许 供应商修改报价</w:t>
            </w:r>
          </w:p>
        </w:tc>
        <w:tc>
          <w:tcPr>
            <w:tcW w:w="2311" w:type="dxa"/>
            <w:shd w:val="clear" w:color="auto" w:fill="auto"/>
            <w:vAlign w:val="center"/>
          </w:tcPr>
          <w:p>
            <w:pPr>
              <w:widowControl/>
              <w:spacing w:line="240" w:lineRule="auto"/>
              <w:ind w:firstLine="0" w:firstLineChars="0"/>
              <w:jc w:val="center"/>
              <w:rPr>
                <w:rFonts w:ascii="宋体" w:hAnsi="宋体" w:cs="宋体"/>
                <w:kern w:val="0"/>
                <w:sz w:val="21"/>
                <w:szCs w:val="21"/>
                <w:highlight w:val="yellow"/>
              </w:rPr>
            </w:pPr>
            <w:r>
              <w:rPr>
                <w:rFonts w:hint="eastAsia" w:ascii="宋体" w:hAnsi="宋体" w:cs="宋体"/>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10"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是否缴纳保证金</w:t>
            </w:r>
          </w:p>
        </w:tc>
        <w:tc>
          <w:tcPr>
            <w:tcW w:w="2311"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sz w:val="21"/>
                <w:szCs w:val="21"/>
              </w:rPr>
              <w:t>/</w:t>
            </w:r>
          </w:p>
        </w:tc>
        <w:tc>
          <w:tcPr>
            <w:tcW w:w="2311"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保证金金额（元）</w:t>
            </w:r>
          </w:p>
        </w:tc>
        <w:tc>
          <w:tcPr>
            <w:tcW w:w="2311" w:type="dxa"/>
            <w:shd w:val="clear" w:color="auto" w:fill="auto"/>
            <w:vAlign w:val="center"/>
          </w:tcPr>
          <w:p>
            <w:pPr>
              <w:spacing w:line="240" w:lineRule="auto"/>
              <w:ind w:firstLine="420"/>
              <w:jc w:val="center"/>
              <w:rPr>
                <w:rFonts w:ascii="宋体" w:hAnsi="宋体" w:cs="宋体"/>
                <w:kern w:val="0"/>
                <w:sz w:val="21"/>
                <w:szCs w:val="21"/>
              </w:rPr>
            </w:pP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10"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报价开始时间</w:t>
            </w:r>
          </w:p>
        </w:tc>
        <w:tc>
          <w:tcPr>
            <w:tcW w:w="2311"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以电商平台时间为准</w:t>
            </w:r>
          </w:p>
        </w:tc>
        <w:tc>
          <w:tcPr>
            <w:tcW w:w="2311"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报价截止时间</w:t>
            </w:r>
          </w:p>
        </w:tc>
        <w:tc>
          <w:tcPr>
            <w:tcW w:w="2311"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以电商平台时间为准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10"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答疑／澄清时间</w:t>
            </w:r>
          </w:p>
        </w:tc>
        <w:tc>
          <w:tcPr>
            <w:tcW w:w="6933" w:type="dxa"/>
            <w:gridSpan w:val="3"/>
            <w:shd w:val="clear" w:color="auto" w:fill="auto"/>
            <w:vAlign w:val="center"/>
          </w:tcPr>
          <w:p>
            <w:pPr>
              <w:widowControl/>
              <w:spacing w:line="240" w:lineRule="auto"/>
              <w:ind w:firstLine="0" w:firstLineChars="0"/>
              <w:jc w:val="left"/>
              <w:rPr>
                <w:rFonts w:ascii="宋体" w:hAnsi="宋体" w:cs="宋体"/>
                <w:kern w:val="0"/>
                <w:sz w:val="21"/>
                <w:szCs w:val="21"/>
              </w:rPr>
            </w:pPr>
            <w:r>
              <w:rPr>
                <w:rFonts w:hint="eastAsia" w:ascii="宋体" w:hAnsi="宋体" w:cs="宋体"/>
                <w:kern w:val="0"/>
                <w:sz w:val="21"/>
                <w:szCs w:val="21"/>
              </w:rPr>
              <w:t>以电商平台时间为准</w:t>
            </w:r>
          </w:p>
        </w:tc>
      </w:tr>
    </w:tbl>
    <w:p>
      <w:pPr>
        <w:pStyle w:val="3"/>
        <w:spacing w:before="156"/>
      </w:pPr>
      <w:r>
        <w:rPr>
          <w:rFonts w:hint="eastAsia"/>
        </w:rPr>
        <w:t>五、采购需求</w:t>
      </w:r>
      <w:r>
        <w:t>信息</w:t>
      </w:r>
    </w:p>
    <w:tbl>
      <w:tblPr>
        <w:tblStyle w:val="11"/>
        <w:tblW w:w="84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3593"/>
        <w:gridCol w:w="1135"/>
        <w:gridCol w:w="1617"/>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053" w:type="dxa"/>
            <w:tcBorders>
              <w:top w:val="single" w:color="auto" w:sz="4" w:space="0"/>
              <w:left w:val="single" w:color="auto" w:sz="4" w:space="0"/>
              <w:bottom w:val="single" w:color="auto" w:sz="4" w:space="0"/>
              <w:right w:val="single" w:color="auto" w:sz="4" w:space="0"/>
            </w:tcBorders>
          </w:tcPr>
          <w:p>
            <w:pPr>
              <w:pStyle w:val="4"/>
              <w:spacing w:line="240" w:lineRule="auto"/>
              <w:ind w:firstLine="0"/>
              <w:rPr>
                <w:b/>
                <w:sz w:val="21"/>
                <w:szCs w:val="21"/>
              </w:rPr>
            </w:pPr>
            <w:r>
              <w:rPr>
                <w:rFonts w:hint="eastAsia"/>
                <w:b/>
                <w:sz w:val="21"/>
                <w:szCs w:val="21"/>
              </w:rPr>
              <w:t>序号</w:t>
            </w:r>
          </w:p>
        </w:tc>
        <w:tc>
          <w:tcPr>
            <w:tcW w:w="3593" w:type="dxa"/>
            <w:tcBorders>
              <w:top w:val="single" w:color="auto" w:sz="4" w:space="0"/>
              <w:left w:val="single" w:color="auto" w:sz="4" w:space="0"/>
              <w:bottom w:val="single" w:color="auto" w:sz="4" w:space="0"/>
              <w:right w:val="single" w:color="auto" w:sz="4" w:space="0"/>
            </w:tcBorders>
          </w:tcPr>
          <w:p>
            <w:pPr>
              <w:pStyle w:val="4"/>
              <w:spacing w:line="240" w:lineRule="auto"/>
              <w:ind w:firstLine="422"/>
              <w:jc w:val="center"/>
              <w:rPr>
                <w:b/>
                <w:sz w:val="21"/>
                <w:szCs w:val="21"/>
              </w:rPr>
            </w:pPr>
            <w:r>
              <w:rPr>
                <w:rFonts w:hint="eastAsia"/>
                <w:b/>
                <w:sz w:val="21"/>
                <w:szCs w:val="21"/>
              </w:rPr>
              <w:t>名称及型号</w:t>
            </w:r>
          </w:p>
        </w:tc>
        <w:tc>
          <w:tcPr>
            <w:tcW w:w="1135" w:type="dxa"/>
            <w:tcBorders>
              <w:top w:val="single" w:color="auto" w:sz="4" w:space="0"/>
              <w:left w:val="single" w:color="auto" w:sz="4" w:space="0"/>
              <w:bottom w:val="single" w:color="auto" w:sz="4" w:space="0"/>
              <w:right w:val="single" w:color="auto" w:sz="4" w:space="0"/>
            </w:tcBorders>
          </w:tcPr>
          <w:p>
            <w:pPr>
              <w:pStyle w:val="4"/>
              <w:spacing w:line="240" w:lineRule="auto"/>
              <w:ind w:firstLine="422"/>
              <w:jc w:val="center"/>
              <w:rPr>
                <w:b/>
                <w:sz w:val="21"/>
                <w:szCs w:val="21"/>
              </w:rPr>
            </w:pPr>
            <w:r>
              <w:rPr>
                <w:rFonts w:hint="eastAsia"/>
                <w:b/>
                <w:sz w:val="21"/>
                <w:szCs w:val="21"/>
              </w:rPr>
              <w:t>单位</w:t>
            </w:r>
          </w:p>
        </w:tc>
        <w:tc>
          <w:tcPr>
            <w:tcW w:w="1617" w:type="dxa"/>
            <w:tcBorders>
              <w:top w:val="single" w:color="auto" w:sz="4" w:space="0"/>
              <w:left w:val="single" w:color="auto" w:sz="4" w:space="0"/>
              <w:bottom w:val="single" w:color="auto" w:sz="4" w:space="0"/>
              <w:right w:val="single" w:color="auto" w:sz="4" w:space="0"/>
            </w:tcBorders>
          </w:tcPr>
          <w:p>
            <w:pPr>
              <w:pStyle w:val="4"/>
              <w:spacing w:line="240" w:lineRule="auto"/>
              <w:ind w:firstLine="422"/>
              <w:jc w:val="center"/>
              <w:rPr>
                <w:b/>
                <w:sz w:val="21"/>
                <w:szCs w:val="21"/>
              </w:rPr>
            </w:pPr>
            <w:r>
              <w:rPr>
                <w:rFonts w:hint="eastAsia"/>
                <w:b/>
                <w:sz w:val="21"/>
                <w:szCs w:val="21"/>
              </w:rPr>
              <w:t>数量</w:t>
            </w:r>
          </w:p>
        </w:tc>
        <w:tc>
          <w:tcPr>
            <w:tcW w:w="1017" w:type="dxa"/>
            <w:tcBorders>
              <w:top w:val="single" w:color="auto" w:sz="4" w:space="0"/>
              <w:left w:val="single" w:color="auto" w:sz="4" w:space="0"/>
              <w:bottom w:val="single" w:color="auto" w:sz="4" w:space="0"/>
              <w:right w:val="single" w:color="auto" w:sz="4" w:space="0"/>
            </w:tcBorders>
          </w:tcPr>
          <w:p>
            <w:pPr>
              <w:pStyle w:val="4"/>
              <w:spacing w:line="240" w:lineRule="auto"/>
              <w:ind w:firstLine="0"/>
              <w:rPr>
                <w:b/>
                <w:sz w:val="21"/>
                <w:szCs w:val="21"/>
              </w:rPr>
            </w:pPr>
            <w:r>
              <w:rPr>
                <w:rFonts w:hint="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tcBorders>
              <w:top w:val="single" w:color="auto" w:sz="4" w:space="0"/>
              <w:left w:val="single" w:color="auto" w:sz="4" w:space="0"/>
              <w:bottom w:val="single" w:color="auto" w:sz="4" w:space="0"/>
              <w:right w:val="single" w:color="auto" w:sz="4" w:space="0"/>
            </w:tcBorders>
            <w:vAlign w:val="center"/>
          </w:tcPr>
          <w:p>
            <w:pPr>
              <w:widowControl/>
              <w:ind w:firstLine="480"/>
              <w:jc w:val="center"/>
              <w:textAlignment w:val="center"/>
            </w:pPr>
            <w:r>
              <w:rPr>
                <w:rFonts w:hint="eastAsia" w:ascii="宋体" w:hAnsi="宋体" w:cs="宋体"/>
                <w:color w:val="000000"/>
                <w:kern w:val="0"/>
              </w:rPr>
              <w:t>1</w:t>
            </w:r>
          </w:p>
        </w:tc>
        <w:tc>
          <w:tcPr>
            <w:tcW w:w="3593" w:type="dxa"/>
            <w:tcBorders>
              <w:top w:val="single" w:color="auto" w:sz="4" w:space="0"/>
              <w:left w:val="single" w:color="auto" w:sz="4" w:space="0"/>
              <w:bottom w:val="single" w:color="auto" w:sz="4" w:space="0"/>
              <w:right w:val="single" w:color="auto" w:sz="4" w:space="0"/>
            </w:tcBorders>
            <w:vAlign w:val="center"/>
          </w:tcPr>
          <w:p>
            <w:pPr>
              <w:ind w:firstLine="440"/>
              <w:rPr>
                <w:rFonts w:ascii="宋体" w:hAnsi="宋体" w:cs="宋体"/>
                <w:color w:val="000000"/>
                <w:sz w:val="22"/>
                <w:szCs w:val="22"/>
              </w:rPr>
            </w:pPr>
            <w:r>
              <w:rPr>
                <w:rFonts w:hint="eastAsia"/>
                <w:color w:val="000000"/>
                <w:sz w:val="22"/>
                <w:szCs w:val="22"/>
              </w:rPr>
              <w:t>其他保温材料\高温粘合剂\800℃\硅酸盐</w:t>
            </w:r>
          </w:p>
        </w:tc>
        <w:tc>
          <w:tcPr>
            <w:tcW w:w="1135" w:type="dxa"/>
            <w:tcBorders>
              <w:top w:val="single" w:color="auto" w:sz="4" w:space="0"/>
              <w:left w:val="single" w:color="auto" w:sz="4" w:space="0"/>
              <w:bottom w:val="single" w:color="auto" w:sz="4" w:space="0"/>
              <w:right w:val="single" w:color="auto" w:sz="4" w:space="0"/>
            </w:tcBorders>
            <w:vAlign w:val="center"/>
          </w:tcPr>
          <w:p>
            <w:pPr>
              <w:ind w:firstLine="440"/>
              <w:rPr>
                <w:rFonts w:ascii="宋体" w:hAnsi="宋体" w:cs="宋体"/>
                <w:color w:val="000000"/>
                <w:sz w:val="22"/>
                <w:szCs w:val="22"/>
              </w:rPr>
            </w:pPr>
            <w:r>
              <w:rPr>
                <w:rFonts w:hint="eastAsia"/>
                <w:color w:val="000000"/>
                <w:sz w:val="22"/>
                <w:szCs w:val="22"/>
              </w:rPr>
              <w:t>千克</w:t>
            </w:r>
          </w:p>
        </w:tc>
        <w:tc>
          <w:tcPr>
            <w:tcW w:w="1617" w:type="dxa"/>
            <w:tcBorders>
              <w:top w:val="single" w:color="auto" w:sz="4" w:space="0"/>
              <w:left w:val="single" w:color="auto" w:sz="4" w:space="0"/>
              <w:bottom w:val="single" w:color="auto" w:sz="4" w:space="0"/>
              <w:right w:val="single" w:color="auto" w:sz="4" w:space="0"/>
            </w:tcBorders>
            <w:vAlign w:val="center"/>
          </w:tcPr>
          <w:p>
            <w:pPr>
              <w:ind w:firstLine="440"/>
              <w:jc w:val="right"/>
              <w:rPr>
                <w:rFonts w:ascii="宋体" w:hAnsi="宋体" w:cs="宋体"/>
                <w:color w:val="000000"/>
                <w:sz w:val="22"/>
                <w:szCs w:val="22"/>
              </w:rPr>
            </w:pPr>
            <w:r>
              <w:rPr>
                <w:rFonts w:hint="eastAsia"/>
                <w:color w:val="000000"/>
                <w:sz w:val="22"/>
                <w:szCs w:val="22"/>
              </w:rPr>
              <w:t>144</w:t>
            </w:r>
          </w:p>
        </w:tc>
        <w:tc>
          <w:tcPr>
            <w:tcW w:w="1017"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53" w:type="dxa"/>
            <w:tcBorders>
              <w:top w:val="single" w:color="auto" w:sz="4" w:space="0"/>
              <w:left w:val="single" w:color="auto" w:sz="4" w:space="0"/>
              <w:bottom w:val="single" w:color="auto" w:sz="4" w:space="0"/>
              <w:right w:val="single" w:color="auto" w:sz="4" w:space="0"/>
            </w:tcBorders>
            <w:vAlign w:val="center"/>
          </w:tcPr>
          <w:p>
            <w:pPr>
              <w:widowControl/>
              <w:ind w:firstLine="480"/>
              <w:jc w:val="center"/>
              <w:textAlignment w:val="center"/>
              <w:rPr>
                <w:rFonts w:ascii="宋体" w:hAnsi="宋体" w:cs="宋体"/>
                <w:color w:val="000000"/>
                <w:kern w:val="0"/>
              </w:rPr>
            </w:pPr>
            <w:r>
              <w:rPr>
                <w:rFonts w:hint="eastAsia" w:ascii="宋体" w:hAnsi="宋体" w:cs="宋体"/>
                <w:color w:val="000000"/>
                <w:kern w:val="0"/>
              </w:rPr>
              <w:t>2</w:t>
            </w:r>
          </w:p>
        </w:tc>
        <w:tc>
          <w:tcPr>
            <w:tcW w:w="3593" w:type="dxa"/>
            <w:tcBorders>
              <w:top w:val="single" w:color="auto" w:sz="4" w:space="0"/>
              <w:left w:val="single" w:color="auto" w:sz="4" w:space="0"/>
              <w:bottom w:val="single" w:color="auto" w:sz="4" w:space="0"/>
              <w:right w:val="single" w:color="auto" w:sz="4" w:space="0"/>
            </w:tcBorders>
            <w:vAlign w:val="center"/>
          </w:tcPr>
          <w:p>
            <w:pPr>
              <w:ind w:firstLine="440"/>
              <w:rPr>
                <w:rFonts w:ascii="宋体" w:hAnsi="宋体" w:cs="宋体"/>
                <w:color w:val="000000"/>
                <w:sz w:val="22"/>
                <w:szCs w:val="22"/>
              </w:rPr>
            </w:pPr>
            <w:r>
              <w:rPr>
                <w:rFonts w:hint="eastAsia"/>
                <w:color w:val="000000"/>
                <w:sz w:val="22"/>
                <w:szCs w:val="22"/>
              </w:rPr>
              <w:t>碳化硅耐火材料制品\耐火浇注料\2100KG/M3</w:t>
            </w:r>
          </w:p>
        </w:tc>
        <w:tc>
          <w:tcPr>
            <w:tcW w:w="1135" w:type="dxa"/>
            <w:tcBorders>
              <w:top w:val="single" w:color="auto" w:sz="4" w:space="0"/>
              <w:left w:val="single" w:color="auto" w:sz="4" w:space="0"/>
              <w:bottom w:val="single" w:color="auto" w:sz="4" w:space="0"/>
              <w:right w:val="single" w:color="auto" w:sz="4" w:space="0"/>
            </w:tcBorders>
            <w:vAlign w:val="center"/>
          </w:tcPr>
          <w:p>
            <w:pPr>
              <w:ind w:firstLine="440"/>
              <w:rPr>
                <w:rFonts w:ascii="宋体" w:hAnsi="宋体" w:cs="宋体"/>
                <w:color w:val="000000"/>
                <w:sz w:val="22"/>
                <w:szCs w:val="22"/>
              </w:rPr>
            </w:pPr>
            <w:r>
              <w:rPr>
                <w:rFonts w:hint="eastAsia"/>
                <w:color w:val="000000"/>
                <w:sz w:val="22"/>
                <w:szCs w:val="22"/>
              </w:rPr>
              <w:t>千克</w:t>
            </w:r>
          </w:p>
        </w:tc>
        <w:tc>
          <w:tcPr>
            <w:tcW w:w="1617" w:type="dxa"/>
            <w:tcBorders>
              <w:top w:val="single" w:color="auto" w:sz="4" w:space="0"/>
              <w:left w:val="single" w:color="auto" w:sz="4" w:space="0"/>
              <w:bottom w:val="single" w:color="auto" w:sz="4" w:space="0"/>
              <w:right w:val="single" w:color="auto" w:sz="4" w:space="0"/>
            </w:tcBorders>
            <w:vAlign w:val="center"/>
          </w:tcPr>
          <w:p>
            <w:pPr>
              <w:ind w:firstLine="440"/>
              <w:jc w:val="right"/>
              <w:rPr>
                <w:rFonts w:ascii="宋体" w:hAnsi="宋体" w:cs="宋体"/>
                <w:color w:val="000000"/>
                <w:sz w:val="22"/>
                <w:szCs w:val="22"/>
              </w:rPr>
            </w:pPr>
            <w:r>
              <w:rPr>
                <w:rFonts w:hint="eastAsia"/>
                <w:color w:val="000000"/>
                <w:sz w:val="22"/>
                <w:szCs w:val="22"/>
              </w:rPr>
              <w:t>25,000.00</w:t>
            </w:r>
          </w:p>
        </w:tc>
        <w:tc>
          <w:tcPr>
            <w:tcW w:w="1017"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tcBorders>
              <w:top w:val="single" w:color="auto" w:sz="4" w:space="0"/>
              <w:left w:val="single" w:color="auto" w:sz="4" w:space="0"/>
              <w:bottom w:val="single" w:color="auto" w:sz="4" w:space="0"/>
              <w:right w:val="single" w:color="auto" w:sz="4" w:space="0"/>
            </w:tcBorders>
            <w:vAlign w:val="center"/>
          </w:tcPr>
          <w:p>
            <w:pPr>
              <w:widowControl/>
              <w:ind w:firstLine="480"/>
              <w:jc w:val="center"/>
              <w:textAlignment w:val="center"/>
              <w:rPr>
                <w:rFonts w:ascii="宋体" w:hAnsi="宋体" w:cs="宋体"/>
                <w:color w:val="000000"/>
                <w:kern w:val="0"/>
              </w:rPr>
            </w:pPr>
            <w:r>
              <w:rPr>
                <w:rFonts w:hint="eastAsia" w:ascii="宋体" w:hAnsi="宋体" w:cs="宋体"/>
                <w:color w:val="000000"/>
                <w:kern w:val="0"/>
              </w:rPr>
              <w:t>3</w:t>
            </w:r>
          </w:p>
        </w:tc>
        <w:tc>
          <w:tcPr>
            <w:tcW w:w="3593" w:type="dxa"/>
            <w:tcBorders>
              <w:top w:val="single" w:color="auto" w:sz="4" w:space="0"/>
              <w:left w:val="single" w:color="auto" w:sz="4" w:space="0"/>
              <w:bottom w:val="single" w:color="auto" w:sz="4" w:space="0"/>
              <w:right w:val="single" w:color="auto" w:sz="4" w:space="0"/>
            </w:tcBorders>
            <w:vAlign w:val="center"/>
          </w:tcPr>
          <w:p>
            <w:pPr>
              <w:ind w:firstLine="440"/>
              <w:rPr>
                <w:rFonts w:ascii="宋体" w:hAnsi="宋体" w:cs="宋体"/>
                <w:color w:val="000000"/>
                <w:sz w:val="22"/>
                <w:szCs w:val="22"/>
              </w:rPr>
            </w:pPr>
            <w:r>
              <w:rPr>
                <w:rFonts w:hint="eastAsia"/>
                <w:color w:val="000000"/>
                <w:sz w:val="22"/>
                <w:szCs w:val="22"/>
              </w:rPr>
              <w:t>石棉绳(线)\石棉绳\16</w:t>
            </w:r>
          </w:p>
        </w:tc>
        <w:tc>
          <w:tcPr>
            <w:tcW w:w="1135" w:type="dxa"/>
            <w:tcBorders>
              <w:top w:val="single" w:color="auto" w:sz="4" w:space="0"/>
              <w:left w:val="single" w:color="auto" w:sz="4" w:space="0"/>
              <w:bottom w:val="single" w:color="auto" w:sz="4" w:space="0"/>
              <w:right w:val="single" w:color="auto" w:sz="4" w:space="0"/>
            </w:tcBorders>
            <w:vAlign w:val="center"/>
          </w:tcPr>
          <w:p>
            <w:pPr>
              <w:ind w:firstLine="440"/>
              <w:rPr>
                <w:rFonts w:ascii="宋体" w:hAnsi="宋体" w:cs="宋体"/>
                <w:color w:val="000000"/>
                <w:sz w:val="22"/>
                <w:szCs w:val="22"/>
              </w:rPr>
            </w:pPr>
            <w:r>
              <w:rPr>
                <w:rFonts w:hint="eastAsia"/>
                <w:color w:val="000000"/>
                <w:sz w:val="22"/>
                <w:szCs w:val="22"/>
              </w:rPr>
              <w:t>千克</w:t>
            </w:r>
          </w:p>
        </w:tc>
        <w:tc>
          <w:tcPr>
            <w:tcW w:w="1617" w:type="dxa"/>
            <w:tcBorders>
              <w:top w:val="single" w:color="auto" w:sz="4" w:space="0"/>
              <w:left w:val="single" w:color="auto" w:sz="4" w:space="0"/>
              <w:bottom w:val="single" w:color="auto" w:sz="4" w:space="0"/>
              <w:right w:val="single" w:color="auto" w:sz="4" w:space="0"/>
            </w:tcBorders>
            <w:vAlign w:val="center"/>
          </w:tcPr>
          <w:p>
            <w:pPr>
              <w:ind w:firstLine="440"/>
              <w:jc w:val="right"/>
              <w:rPr>
                <w:rFonts w:ascii="宋体" w:hAnsi="宋体" w:cs="宋体"/>
                <w:color w:val="000000"/>
                <w:sz w:val="22"/>
                <w:szCs w:val="22"/>
              </w:rPr>
            </w:pPr>
            <w:r>
              <w:rPr>
                <w:rFonts w:hint="eastAsia"/>
                <w:color w:val="000000"/>
                <w:sz w:val="22"/>
                <w:szCs w:val="22"/>
              </w:rPr>
              <w:t>300</w:t>
            </w:r>
          </w:p>
        </w:tc>
        <w:tc>
          <w:tcPr>
            <w:tcW w:w="1017"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tcBorders>
              <w:top w:val="single" w:color="auto" w:sz="4" w:space="0"/>
              <w:left w:val="single" w:color="auto" w:sz="4" w:space="0"/>
              <w:bottom w:val="single" w:color="auto" w:sz="4" w:space="0"/>
              <w:right w:val="single" w:color="auto" w:sz="4" w:space="0"/>
            </w:tcBorders>
            <w:vAlign w:val="center"/>
          </w:tcPr>
          <w:p>
            <w:pPr>
              <w:widowControl/>
              <w:ind w:firstLine="480"/>
              <w:jc w:val="center"/>
              <w:textAlignment w:val="center"/>
              <w:rPr>
                <w:rFonts w:ascii="宋体" w:hAnsi="宋体" w:cs="宋体"/>
                <w:color w:val="000000"/>
                <w:kern w:val="0"/>
              </w:rPr>
            </w:pPr>
            <w:r>
              <w:rPr>
                <w:rFonts w:hint="eastAsia" w:ascii="宋体" w:hAnsi="宋体" w:cs="宋体"/>
                <w:color w:val="000000"/>
                <w:kern w:val="0"/>
              </w:rPr>
              <w:t>4</w:t>
            </w:r>
          </w:p>
        </w:tc>
        <w:tc>
          <w:tcPr>
            <w:tcW w:w="3593" w:type="dxa"/>
            <w:tcBorders>
              <w:top w:val="single" w:color="auto" w:sz="4" w:space="0"/>
              <w:left w:val="single" w:color="auto" w:sz="4" w:space="0"/>
              <w:bottom w:val="single" w:color="auto" w:sz="4" w:space="0"/>
              <w:right w:val="single" w:color="auto" w:sz="4" w:space="0"/>
            </w:tcBorders>
            <w:vAlign w:val="center"/>
          </w:tcPr>
          <w:p>
            <w:pPr>
              <w:ind w:firstLine="440"/>
              <w:rPr>
                <w:rFonts w:ascii="宋体" w:hAnsi="宋体" w:cs="宋体"/>
                <w:color w:val="000000"/>
                <w:sz w:val="22"/>
                <w:szCs w:val="22"/>
              </w:rPr>
            </w:pPr>
            <w:r>
              <w:rPr>
                <w:rFonts w:hint="eastAsia"/>
                <w:color w:val="000000"/>
                <w:sz w:val="22"/>
                <w:szCs w:val="22"/>
              </w:rPr>
              <w:t>耐火水泥\625#\50KG</w:t>
            </w:r>
          </w:p>
        </w:tc>
        <w:tc>
          <w:tcPr>
            <w:tcW w:w="1135" w:type="dxa"/>
            <w:tcBorders>
              <w:top w:val="single" w:color="auto" w:sz="4" w:space="0"/>
              <w:left w:val="single" w:color="auto" w:sz="4" w:space="0"/>
              <w:bottom w:val="single" w:color="auto" w:sz="4" w:space="0"/>
              <w:right w:val="single" w:color="auto" w:sz="4" w:space="0"/>
            </w:tcBorders>
            <w:vAlign w:val="center"/>
          </w:tcPr>
          <w:p>
            <w:pPr>
              <w:ind w:firstLine="440"/>
              <w:rPr>
                <w:rFonts w:ascii="宋体" w:hAnsi="宋体" w:cs="宋体"/>
                <w:color w:val="000000"/>
                <w:sz w:val="22"/>
                <w:szCs w:val="22"/>
              </w:rPr>
            </w:pPr>
            <w:r>
              <w:rPr>
                <w:rFonts w:hint="eastAsia"/>
                <w:color w:val="000000"/>
                <w:sz w:val="22"/>
                <w:szCs w:val="22"/>
              </w:rPr>
              <w:t>千克</w:t>
            </w:r>
          </w:p>
        </w:tc>
        <w:tc>
          <w:tcPr>
            <w:tcW w:w="1617" w:type="dxa"/>
            <w:tcBorders>
              <w:top w:val="single" w:color="auto" w:sz="4" w:space="0"/>
              <w:left w:val="single" w:color="auto" w:sz="4" w:space="0"/>
              <w:bottom w:val="single" w:color="auto" w:sz="4" w:space="0"/>
              <w:right w:val="single" w:color="auto" w:sz="4" w:space="0"/>
            </w:tcBorders>
            <w:vAlign w:val="center"/>
          </w:tcPr>
          <w:p>
            <w:pPr>
              <w:ind w:firstLine="440"/>
              <w:jc w:val="right"/>
              <w:rPr>
                <w:rFonts w:ascii="宋体" w:hAnsi="宋体" w:cs="宋体"/>
                <w:color w:val="000000"/>
                <w:sz w:val="22"/>
                <w:szCs w:val="22"/>
              </w:rPr>
            </w:pPr>
            <w:r>
              <w:rPr>
                <w:rFonts w:hint="eastAsia"/>
                <w:color w:val="000000"/>
                <w:sz w:val="22"/>
                <w:szCs w:val="22"/>
              </w:rPr>
              <w:t>3,000.00</w:t>
            </w:r>
          </w:p>
        </w:tc>
        <w:tc>
          <w:tcPr>
            <w:tcW w:w="1017"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宋体" w:hAnsi="宋体" w:cs="宋体"/>
                <w:color w:val="000000"/>
              </w:rPr>
            </w:pPr>
          </w:p>
        </w:tc>
      </w:tr>
    </w:tbl>
    <w:p>
      <w:pPr>
        <w:tabs>
          <w:tab w:val="left" w:pos="851"/>
          <w:tab w:val="left" w:pos="1560"/>
        </w:tabs>
        <w:ind w:firstLine="352" w:firstLineChars="147"/>
      </w:pPr>
      <w:r>
        <w:rPr>
          <w:rFonts w:hint="eastAsia"/>
        </w:rPr>
        <w:t>详见电子商务平台询价公告/采购明细</w:t>
      </w:r>
    </w:p>
    <w:p>
      <w:pPr>
        <w:ind w:firstLine="480"/>
      </w:pPr>
    </w:p>
    <w:p>
      <w:pPr>
        <w:pStyle w:val="3"/>
        <w:spacing w:before="156"/>
      </w:pPr>
      <w:r>
        <w:rPr>
          <w:rFonts w:hint="eastAsia"/>
        </w:rPr>
        <w:t>六、</w:t>
      </w:r>
      <w:r>
        <w:t>联系人信息</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1"/>
        <w:gridCol w:w="2177"/>
        <w:gridCol w:w="2059"/>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10"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联系人（采购人）</w:t>
            </w:r>
          </w:p>
        </w:tc>
        <w:tc>
          <w:tcPr>
            <w:tcW w:w="2311" w:type="dxa"/>
            <w:shd w:val="clear" w:color="auto" w:fill="auto"/>
            <w:vAlign w:val="center"/>
          </w:tcPr>
          <w:p>
            <w:pPr>
              <w:widowControl/>
              <w:spacing w:line="240" w:lineRule="auto"/>
              <w:ind w:firstLine="0" w:firstLineChars="0"/>
              <w:jc w:val="center"/>
              <w:rPr>
                <w:rFonts w:ascii="宋体" w:hAnsi="宋体" w:cs="宋体"/>
                <w:kern w:val="0"/>
                <w:sz w:val="21"/>
                <w:szCs w:val="21"/>
                <w:highlight w:val="yellow"/>
              </w:rPr>
            </w:pPr>
            <w:r>
              <w:rPr>
                <w:rFonts w:hint="eastAsia" w:ascii="宋体" w:hAnsi="宋体" w:cs="宋体"/>
                <w:kern w:val="0"/>
                <w:sz w:val="21"/>
                <w:szCs w:val="21"/>
                <w:highlight w:val="yellow"/>
              </w:rPr>
              <w:t>姚学军</w:t>
            </w:r>
          </w:p>
        </w:tc>
        <w:tc>
          <w:tcPr>
            <w:tcW w:w="2311" w:type="dxa"/>
            <w:shd w:val="clear" w:color="auto" w:fill="auto"/>
            <w:vAlign w:val="center"/>
          </w:tcPr>
          <w:p>
            <w:pPr>
              <w:widowControl/>
              <w:spacing w:line="240" w:lineRule="auto"/>
              <w:ind w:firstLine="0" w:firstLineChars="0"/>
              <w:jc w:val="center"/>
              <w:rPr>
                <w:rFonts w:ascii="宋体" w:hAnsi="宋体" w:cs="宋体"/>
                <w:kern w:val="0"/>
                <w:sz w:val="21"/>
                <w:szCs w:val="21"/>
                <w:highlight w:val="yellow"/>
              </w:rPr>
            </w:pPr>
            <w:r>
              <w:rPr>
                <w:rFonts w:hint="eastAsia" w:ascii="宋体" w:hAnsi="宋体" w:cs="宋体"/>
                <w:kern w:val="0"/>
                <w:sz w:val="21"/>
                <w:szCs w:val="21"/>
                <w:highlight w:val="yellow"/>
              </w:rPr>
              <w:t>询价单位</w:t>
            </w:r>
          </w:p>
        </w:tc>
        <w:tc>
          <w:tcPr>
            <w:tcW w:w="2311" w:type="dxa"/>
            <w:shd w:val="clear" w:color="auto" w:fill="auto"/>
            <w:vAlign w:val="center"/>
          </w:tcPr>
          <w:p>
            <w:pPr>
              <w:widowControl/>
              <w:spacing w:line="240" w:lineRule="auto"/>
              <w:ind w:firstLine="0" w:firstLineChars="0"/>
              <w:jc w:val="center"/>
              <w:rPr>
                <w:rFonts w:ascii="宋体" w:hAnsi="宋体" w:cs="宋体"/>
                <w:kern w:val="0"/>
                <w:sz w:val="21"/>
                <w:szCs w:val="21"/>
                <w:highlight w:val="yellow"/>
              </w:rPr>
            </w:pPr>
            <w:r>
              <w:rPr>
                <w:rFonts w:hint="eastAsia" w:ascii="宋体" w:hAnsi="宋体" w:cs="宋体"/>
                <w:kern w:val="0"/>
                <w:sz w:val="21"/>
                <w:szCs w:val="21"/>
                <w:highlight w:val="yellow"/>
              </w:rPr>
              <w:t>根河光明热电有限责任公司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10"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联系电话</w:t>
            </w:r>
          </w:p>
        </w:tc>
        <w:tc>
          <w:tcPr>
            <w:tcW w:w="2311" w:type="dxa"/>
            <w:shd w:val="clear" w:color="auto" w:fill="auto"/>
            <w:vAlign w:val="center"/>
          </w:tcPr>
          <w:p>
            <w:pPr>
              <w:widowControl/>
              <w:spacing w:line="240" w:lineRule="auto"/>
              <w:ind w:firstLine="0" w:firstLineChars="0"/>
              <w:jc w:val="center"/>
              <w:rPr>
                <w:rFonts w:ascii="宋体" w:hAnsi="宋体" w:cs="宋体"/>
                <w:kern w:val="0"/>
                <w:sz w:val="21"/>
                <w:szCs w:val="21"/>
                <w:highlight w:val="yellow"/>
              </w:rPr>
            </w:pPr>
            <w:r>
              <w:rPr>
                <w:rFonts w:hint="eastAsia" w:ascii="宋体" w:hAnsi="宋体" w:cs="宋体"/>
                <w:kern w:val="0"/>
                <w:sz w:val="21"/>
                <w:szCs w:val="21"/>
                <w:highlight w:val="yellow"/>
              </w:rPr>
              <w:t>0470-5230100</w:t>
            </w:r>
          </w:p>
        </w:tc>
        <w:tc>
          <w:tcPr>
            <w:tcW w:w="2311" w:type="dxa"/>
            <w:shd w:val="clear" w:color="auto" w:fill="auto"/>
            <w:vAlign w:val="center"/>
          </w:tcPr>
          <w:p>
            <w:pPr>
              <w:widowControl/>
              <w:spacing w:line="240" w:lineRule="auto"/>
              <w:ind w:firstLine="0" w:firstLineChars="0"/>
              <w:jc w:val="center"/>
              <w:rPr>
                <w:rFonts w:ascii="宋体" w:hAnsi="宋体" w:cs="宋体"/>
                <w:kern w:val="0"/>
                <w:sz w:val="21"/>
                <w:szCs w:val="21"/>
                <w:highlight w:val="yellow"/>
              </w:rPr>
            </w:pPr>
            <w:r>
              <w:rPr>
                <w:rFonts w:hint="eastAsia" w:ascii="宋体" w:hAnsi="宋体" w:cs="宋体"/>
                <w:kern w:val="0"/>
                <w:sz w:val="21"/>
                <w:szCs w:val="21"/>
                <w:highlight w:val="yellow"/>
              </w:rPr>
              <w:t>传真</w:t>
            </w:r>
          </w:p>
        </w:tc>
        <w:tc>
          <w:tcPr>
            <w:tcW w:w="2311" w:type="dxa"/>
            <w:shd w:val="clear" w:color="auto" w:fill="auto"/>
            <w:vAlign w:val="center"/>
          </w:tcPr>
          <w:p>
            <w:pPr>
              <w:spacing w:line="240" w:lineRule="auto"/>
              <w:ind w:firstLine="420"/>
              <w:jc w:val="center"/>
              <w:rPr>
                <w:rFonts w:ascii="宋体" w:hAnsi="宋体" w:cs="宋体"/>
                <w:kern w:val="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10"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邮编</w:t>
            </w:r>
          </w:p>
        </w:tc>
        <w:tc>
          <w:tcPr>
            <w:tcW w:w="2311" w:type="dxa"/>
            <w:shd w:val="clear" w:color="auto" w:fill="auto"/>
            <w:vAlign w:val="center"/>
          </w:tcPr>
          <w:p>
            <w:pPr>
              <w:widowControl/>
              <w:spacing w:line="240" w:lineRule="auto"/>
              <w:ind w:firstLine="0" w:firstLineChars="0"/>
              <w:jc w:val="center"/>
              <w:rPr>
                <w:rFonts w:ascii="宋体" w:hAnsi="宋体" w:cs="宋体"/>
                <w:kern w:val="0"/>
                <w:sz w:val="21"/>
                <w:szCs w:val="21"/>
                <w:highlight w:val="yellow"/>
              </w:rPr>
            </w:pPr>
            <w:r>
              <w:rPr>
                <w:rFonts w:hint="eastAsia" w:ascii="宋体" w:hAnsi="宋体" w:cs="宋体"/>
                <w:kern w:val="0"/>
                <w:sz w:val="21"/>
                <w:szCs w:val="21"/>
                <w:highlight w:val="yellow"/>
              </w:rPr>
              <w:t>022350</w:t>
            </w:r>
          </w:p>
        </w:tc>
        <w:tc>
          <w:tcPr>
            <w:tcW w:w="2311" w:type="dxa"/>
            <w:shd w:val="clear" w:color="auto" w:fill="auto"/>
            <w:vAlign w:val="center"/>
          </w:tcPr>
          <w:p>
            <w:pPr>
              <w:widowControl/>
              <w:spacing w:line="240" w:lineRule="auto"/>
              <w:ind w:firstLine="0" w:firstLineChars="0"/>
              <w:jc w:val="center"/>
              <w:rPr>
                <w:rFonts w:ascii="宋体" w:hAnsi="宋体" w:cs="宋体"/>
                <w:kern w:val="0"/>
                <w:sz w:val="21"/>
                <w:szCs w:val="21"/>
                <w:highlight w:val="yellow"/>
              </w:rPr>
            </w:pPr>
            <w:r>
              <w:rPr>
                <w:rFonts w:hint="eastAsia" w:ascii="宋体" w:hAnsi="宋体" w:cs="宋体"/>
                <w:kern w:val="0"/>
                <w:sz w:val="21"/>
                <w:szCs w:val="21"/>
                <w:highlight w:val="yellow"/>
              </w:rPr>
              <w:t>Email</w:t>
            </w:r>
          </w:p>
        </w:tc>
        <w:tc>
          <w:tcPr>
            <w:tcW w:w="2311" w:type="dxa"/>
            <w:shd w:val="clear" w:color="auto" w:fill="auto"/>
            <w:vAlign w:val="center"/>
          </w:tcPr>
          <w:p>
            <w:pPr>
              <w:widowControl/>
              <w:spacing w:line="240" w:lineRule="auto"/>
              <w:ind w:firstLine="0" w:firstLineChars="0"/>
              <w:jc w:val="center"/>
              <w:rPr>
                <w:rFonts w:ascii="宋体" w:hAnsi="宋体" w:cs="宋体"/>
                <w:kern w:val="0"/>
                <w:sz w:val="21"/>
                <w:szCs w:val="21"/>
                <w:highlight w:val="yellow"/>
              </w:rPr>
            </w:pPr>
            <w:r>
              <w:rPr>
                <w:rFonts w:hint="eastAsia" w:ascii="宋体" w:hAnsi="宋体" w:cs="宋体"/>
                <w:kern w:val="0"/>
                <w:sz w:val="21"/>
                <w:szCs w:val="21"/>
                <w:highlight w:val="yellow"/>
              </w:rPr>
              <w:t>ghfdcyxj@163.com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10"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手机</w:t>
            </w:r>
          </w:p>
        </w:tc>
        <w:tc>
          <w:tcPr>
            <w:tcW w:w="2311" w:type="dxa"/>
            <w:shd w:val="clear" w:color="auto" w:fill="auto"/>
            <w:vAlign w:val="center"/>
          </w:tcPr>
          <w:p>
            <w:pPr>
              <w:widowControl/>
              <w:spacing w:line="240" w:lineRule="auto"/>
              <w:ind w:firstLine="0" w:firstLineChars="0"/>
              <w:jc w:val="center"/>
              <w:rPr>
                <w:rFonts w:ascii="宋体" w:hAnsi="宋体" w:cs="宋体"/>
                <w:kern w:val="0"/>
                <w:sz w:val="21"/>
                <w:szCs w:val="21"/>
                <w:highlight w:val="yellow"/>
              </w:rPr>
            </w:pPr>
            <w:r>
              <w:rPr>
                <w:rFonts w:hint="eastAsia" w:ascii="宋体" w:hAnsi="宋体" w:cs="宋体"/>
                <w:kern w:val="0"/>
                <w:sz w:val="21"/>
                <w:szCs w:val="21"/>
                <w:highlight w:val="yellow"/>
              </w:rPr>
              <w:t>13327005019</w:t>
            </w:r>
          </w:p>
        </w:tc>
        <w:tc>
          <w:tcPr>
            <w:tcW w:w="2311" w:type="dxa"/>
            <w:shd w:val="clear" w:color="auto" w:fill="auto"/>
            <w:vAlign w:val="center"/>
          </w:tcPr>
          <w:p>
            <w:pPr>
              <w:widowControl/>
              <w:spacing w:line="240" w:lineRule="auto"/>
              <w:ind w:firstLine="0" w:firstLineChars="0"/>
              <w:jc w:val="center"/>
              <w:rPr>
                <w:rFonts w:ascii="宋体" w:hAnsi="宋体" w:cs="宋体"/>
                <w:kern w:val="0"/>
                <w:sz w:val="21"/>
                <w:szCs w:val="21"/>
                <w:highlight w:val="yellow"/>
              </w:rPr>
            </w:pPr>
            <w:r>
              <w:rPr>
                <w:rFonts w:hint="eastAsia" w:ascii="宋体" w:hAnsi="宋体" w:cs="宋体"/>
                <w:kern w:val="0"/>
                <w:sz w:val="21"/>
                <w:szCs w:val="21"/>
                <w:highlight w:val="yellow"/>
              </w:rPr>
              <w:t>联系地址</w:t>
            </w:r>
          </w:p>
        </w:tc>
        <w:tc>
          <w:tcPr>
            <w:tcW w:w="2311" w:type="dxa"/>
            <w:shd w:val="clear" w:color="auto" w:fill="auto"/>
            <w:vAlign w:val="center"/>
          </w:tcPr>
          <w:p>
            <w:pPr>
              <w:widowControl/>
              <w:spacing w:line="240" w:lineRule="auto"/>
              <w:ind w:firstLine="0" w:firstLineChars="0"/>
              <w:jc w:val="center"/>
              <w:rPr>
                <w:rFonts w:ascii="宋体" w:hAnsi="宋体" w:cs="宋体"/>
                <w:kern w:val="0"/>
                <w:sz w:val="21"/>
                <w:szCs w:val="21"/>
                <w:highlight w:val="yellow"/>
              </w:rPr>
            </w:pPr>
            <w:r>
              <w:rPr>
                <w:rFonts w:hint="eastAsia" w:ascii="宋体" w:hAnsi="宋体" w:cs="宋体"/>
                <w:kern w:val="0"/>
                <w:sz w:val="21"/>
                <w:szCs w:val="21"/>
                <w:highlight w:val="yellow"/>
              </w:rPr>
              <w:t>根河市中央路动力街1号</w:t>
            </w:r>
          </w:p>
        </w:tc>
      </w:tr>
    </w:tbl>
    <w:p>
      <w:pPr>
        <w:pStyle w:val="3"/>
        <w:spacing w:before="156"/>
      </w:pPr>
      <w:r>
        <w:rPr>
          <w:rFonts w:hint="eastAsia"/>
        </w:rPr>
        <w:t>七、</w:t>
      </w:r>
      <w:r>
        <w:t>附件</w:t>
      </w:r>
    </w:p>
    <w:bookmarkEnd w:id="5"/>
    <w:bookmarkEnd w:id="6"/>
    <w:p>
      <w:pPr>
        <w:spacing w:before="120"/>
        <w:ind w:firstLine="0" w:firstLineChars="0"/>
      </w:pPr>
      <w:r>
        <w:rPr>
          <w:rFonts w:ascii="宋体" w:hAnsi="宋体" w:cs="宋体"/>
          <w:bCs/>
          <w:szCs w:val="24"/>
        </w:rPr>
        <w:t>只接受供应商</w:t>
      </w:r>
      <w:r>
        <w:rPr>
          <w:rFonts w:hint="eastAsia" w:ascii="宋体" w:hAnsi="宋体" w:cs="宋体"/>
          <w:bCs/>
          <w:szCs w:val="24"/>
        </w:rPr>
        <w:t>通过电子商务平台线上对需要澄清的内容提出问询</w:t>
      </w:r>
      <w:r>
        <w:rPr>
          <w:rFonts w:hint="eastAsia"/>
        </w:rPr>
        <w:t>。</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等线 Light">
    <w:altName w:val="宋体"/>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10" w:usb3="00000000" w:csb0="0004009F"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E6BC19"/>
    <w:multiLevelType w:val="singleLevel"/>
    <w:tmpl w:val="29E6BC19"/>
    <w:lvl w:ilvl="0" w:tentative="0">
      <w:start w:val="1"/>
      <w:numFmt w:val="decimal"/>
      <w:suff w:val="nothing"/>
      <w:lvlText w:val="（%1）"/>
      <w:lvlJc w:val="left"/>
    </w:lvl>
  </w:abstractNum>
  <w:abstractNum w:abstractNumId="1">
    <w:nsid w:val="610468EB"/>
    <w:multiLevelType w:val="singleLevel"/>
    <w:tmpl w:val="610468EB"/>
    <w:lvl w:ilvl="0" w:tentative="0">
      <w:start w:val="5"/>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Y0ZWQzMDM3MjcyOTFmMjc0OGMwYTRiN2Y2YzcwMGIifQ=="/>
  </w:docVars>
  <w:rsids>
    <w:rsidRoot w:val="00443E13"/>
    <w:rsid w:val="0000491D"/>
    <w:rsid w:val="00047F4E"/>
    <w:rsid w:val="00080783"/>
    <w:rsid w:val="0008100C"/>
    <w:rsid w:val="0009764A"/>
    <w:rsid w:val="000A36D4"/>
    <w:rsid w:val="000C2AAF"/>
    <w:rsid w:val="000D678A"/>
    <w:rsid w:val="000E4CC4"/>
    <w:rsid w:val="000F4A58"/>
    <w:rsid w:val="000F522D"/>
    <w:rsid w:val="0010380E"/>
    <w:rsid w:val="0011148B"/>
    <w:rsid w:val="00125EA6"/>
    <w:rsid w:val="00156D5A"/>
    <w:rsid w:val="00164C6F"/>
    <w:rsid w:val="00165751"/>
    <w:rsid w:val="00170925"/>
    <w:rsid w:val="001770EF"/>
    <w:rsid w:val="00177CB7"/>
    <w:rsid w:val="001955E5"/>
    <w:rsid w:val="001A0E99"/>
    <w:rsid w:val="001D1280"/>
    <w:rsid w:val="001E1C64"/>
    <w:rsid w:val="001F257E"/>
    <w:rsid w:val="002009B7"/>
    <w:rsid w:val="00205264"/>
    <w:rsid w:val="00207E39"/>
    <w:rsid w:val="0021764B"/>
    <w:rsid w:val="0023070B"/>
    <w:rsid w:val="00255160"/>
    <w:rsid w:val="00260C78"/>
    <w:rsid w:val="002A5204"/>
    <w:rsid w:val="002B467F"/>
    <w:rsid w:val="002B4ECC"/>
    <w:rsid w:val="002C174F"/>
    <w:rsid w:val="002C6417"/>
    <w:rsid w:val="002C7093"/>
    <w:rsid w:val="002D3F9D"/>
    <w:rsid w:val="00315F55"/>
    <w:rsid w:val="0032178C"/>
    <w:rsid w:val="00323899"/>
    <w:rsid w:val="0032713F"/>
    <w:rsid w:val="00331633"/>
    <w:rsid w:val="00344AE4"/>
    <w:rsid w:val="00367F68"/>
    <w:rsid w:val="00377BC5"/>
    <w:rsid w:val="003926E5"/>
    <w:rsid w:val="003A670B"/>
    <w:rsid w:val="003A6D52"/>
    <w:rsid w:val="003B58F2"/>
    <w:rsid w:val="003C20F4"/>
    <w:rsid w:val="003C2A24"/>
    <w:rsid w:val="003F05C1"/>
    <w:rsid w:val="003F3EE0"/>
    <w:rsid w:val="003F5B9B"/>
    <w:rsid w:val="00422D1C"/>
    <w:rsid w:val="00433601"/>
    <w:rsid w:val="00443E13"/>
    <w:rsid w:val="0044702B"/>
    <w:rsid w:val="0045514B"/>
    <w:rsid w:val="00462DAE"/>
    <w:rsid w:val="00476FE0"/>
    <w:rsid w:val="00483085"/>
    <w:rsid w:val="00483A38"/>
    <w:rsid w:val="004A24B0"/>
    <w:rsid w:val="004B7C77"/>
    <w:rsid w:val="004C5ADB"/>
    <w:rsid w:val="005210D0"/>
    <w:rsid w:val="005237CE"/>
    <w:rsid w:val="005545D8"/>
    <w:rsid w:val="00577F8C"/>
    <w:rsid w:val="0058610F"/>
    <w:rsid w:val="00586C42"/>
    <w:rsid w:val="005B18A0"/>
    <w:rsid w:val="005D07BA"/>
    <w:rsid w:val="005E3143"/>
    <w:rsid w:val="005E55ED"/>
    <w:rsid w:val="005F4609"/>
    <w:rsid w:val="00607C11"/>
    <w:rsid w:val="00647943"/>
    <w:rsid w:val="00671A38"/>
    <w:rsid w:val="00672A75"/>
    <w:rsid w:val="0067386E"/>
    <w:rsid w:val="00694D3E"/>
    <w:rsid w:val="006B77EB"/>
    <w:rsid w:val="006C3AB7"/>
    <w:rsid w:val="006F2A61"/>
    <w:rsid w:val="0072363A"/>
    <w:rsid w:val="007264C2"/>
    <w:rsid w:val="00734F19"/>
    <w:rsid w:val="007606E8"/>
    <w:rsid w:val="007805CE"/>
    <w:rsid w:val="00780D1A"/>
    <w:rsid w:val="00782945"/>
    <w:rsid w:val="00785F99"/>
    <w:rsid w:val="00797B4E"/>
    <w:rsid w:val="007E551C"/>
    <w:rsid w:val="007E6897"/>
    <w:rsid w:val="007F3BC1"/>
    <w:rsid w:val="007F6E95"/>
    <w:rsid w:val="00805DF0"/>
    <w:rsid w:val="00814418"/>
    <w:rsid w:val="008300F1"/>
    <w:rsid w:val="00832AFC"/>
    <w:rsid w:val="008419B3"/>
    <w:rsid w:val="00854DFB"/>
    <w:rsid w:val="00893BA6"/>
    <w:rsid w:val="008A1640"/>
    <w:rsid w:val="008A774F"/>
    <w:rsid w:val="008B758B"/>
    <w:rsid w:val="008F232D"/>
    <w:rsid w:val="00902819"/>
    <w:rsid w:val="00910274"/>
    <w:rsid w:val="009252CD"/>
    <w:rsid w:val="00943133"/>
    <w:rsid w:val="00965323"/>
    <w:rsid w:val="00973F65"/>
    <w:rsid w:val="00976F90"/>
    <w:rsid w:val="009C01D9"/>
    <w:rsid w:val="009E41AA"/>
    <w:rsid w:val="009F3576"/>
    <w:rsid w:val="009F4EC4"/>
    <w:rsid w:val="00A3191A"/>
    <w:rsid w:val="00A62729"/>
    <w:rsid w:val="00A671A2"/>
    <w:rsid w:val="00A70072"/>
    <w:rsid w:val="00A850D7"/>
    <w:rsid w:val="00AA607F"/>
    <w:rsid w:val="00AE645D"/>
    <w:rsid w:val="00AF24BF"/>
    <w:rsid w:val="00AF3813"/>
    <w:rsid w:val="00AF6EB4"/>
    <w:rsid w:val="00B8497B"/>
    <w:rsid w:val="00B95A2A"/>
    <w:rsid w:val="00BB27E5"/>
    <w:rsid w:val="00BB5757"/>
    <w:rsid w:val="00BB6E42"/>
    <w:rsid w:val="00BD3185"/>
    <w:rsid w:val="00BE4A83"/>
    <w:rsid w:val="00BF0945"/>
    <w:rsid w:val="00C26F62"/>
    <w:rsid w:val="00C550EA"/>
    <w:rsid w:val="00C713C1"/>
    <w:rsid w:val="00C74A6E"/>
    <w:rsid w:val="00C759FF"/>
    <w:rsid w:val="00CB259F"/>
    <w:rsid w:val="00CE67A3"/>
    <w:rsid w:val="00CF35BA"/>
    <w:rsid w:val="00D0693C"/>
    <w:rsid w:val="00D2784A"/>
    <w:rsid w:val="00D47639"/>
    <w:rsid w:val="00D56F76"/>
    <w:rsid w:val="00D601DA"/>
    <w:rsid w:val="00D872C9"/>
    <w:rsid w:val="00DA011C"/>
    <w:rsid w:val="00DC000B"/>
    <w:rsid w:val="00DE3150"/>
    <w:rsid w:val="00E65178"/>
    <w:rsid w:val="00E65BBF"/>
    <w:rsid w:val="00EC08A5"/>
    <w:rsid w:val="00EC54EB"/>
    <w:rsid w:val="00F3611B"/>
    <w:rsid w:val="00F41C36"/>
    <w:rsid w:val="00F42208"/>
    <w:rsid w:val="00F53C4A"/>
    <w:rsid w:val="00F57503"/>
    <w:rsid w:val="00F770E3"/>
    <w:rsid w:val="00F805FC"/>
    <w:rsid w:val="00F808CC"/>
    <w:rsid w:val="00F80DEA"/>
    <w:rsid w:val="00FA43E3"/>
    <w:rsid w:val="00FB41C7"/>
    <w:rsid w:val="00FC3AF2"/>
    <w:rsid w:val="00FE43C0"/>
    <w:rsid w:val="00FF36D3"/>
    <w:rsid w:val="012D4D8E"/>
    <w:rsid w:val="08876368"/>
    <w:rsid w:val="1BEA4D8F"/>
    <w:rsid w:val="373A3F6C"/>
    <w:rsid w:val="43212685"/>
    <w:rsid w:val="60EF6F30"/>
    <w:rsid w:val="67C34E3A"/>
    <w:rsid w:val="6DC14BBC"/>
    <w:rsid w:val="7BEA1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440" w:lineRule="exact"/>
      <w:ind w:firstLine="200" w:firstLineChars="200"/>
      <w:jc w:val="both"/>
    </w:pPr>
    <w:rPr>
      <w:rFonts w:ascii="Times New Roman" w:hAnsi="Times New Roman" w:eastAsia="宋体" w:cs="Times New Roman"/>
      <w:kern w:val="2"/>
      <w:sz w:val="24"/>
      <w:lang w:val="en-US" w:eastAsia="zh-CN" w:bidi="ar-SA"/>
    </w:rPr>
  </w:style>
  <w:style w:type="paragraph" w:styleId="2">
    <w:name w:val="heading 1"/>
    <w:basedOn w:val="1"/>
    <w:next w:val="1"/>
    <w:link w:val="17"/>
    <w:qFormat/>
    <w:uiPriority w:val="9"/>
    <w:pPr>
      <w:keepNext/>
      <w:keepLines/>
      <w:spacing w:before="340" w:after="330" w:line="578" w:lineRule="atLeast"/>
      <w:outlineLvl w:val="0"/>
    </w:pPr>
    <w:rPr>
      <w:b/>
      <w:bCs/>
      <w:kern w:val="44"/>
      <w:sz w:val="44"/>
      <w:szCs w:val="44"/>
    </w:rPr>
  </w:style>
  <w:style w:type="paragraph" w:styleId="3">
    <w:name w:val="heading 2"/>
    <w:basedOn w:val="1"/>
    <w:next w:val="1"/>
    <w:link w:val="14"/>
    <w:unhideWhenUsed/>
    <w:qFormat/>
    <w:uiPriority w:val="9"/>
    <w:pPr>
      <w:keepNext/>
      <w:keepLines/>
      <w:spacing w:beforeLines="50" w:line="360" w:lineRule="auto"/>
      <w:ind w:firstLine="0" w:firstLineChars="0"/>
      <w:jc w:val="left"/>
      <w:outlineLvl w:val="1"/>
    </w:pPr>
    <w:rPr>
      <w:rFonts w:ascii="Arial" w:hAnsi="Arial" w:eastAsia="黑体"/>
      <w:bCs/>
      <w:kern w:val="0"/>
      <w:sz w:val="28"/>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snapToGrid/>
      <w:spacing w:line="560" w:lineRule="exact"/>
      <w:ind w:firstLine="624" w:firstLineChars="0"/>
      <w:jc w:val="left"/>
      <w:textAlignment w:val="baseline"/>
    </w:pPr>
    <w:rPr>
      <w:rFonts w:eastAsia="仿宋_GB2312"/>
      <w:kern w:val="0"/>
      <w:sz w:val="30"/>
      <w:szCs w:val="30"/>
    </w:rPr>
  </w:style>
  <w:style w:type="paragraph" w:styleId="5">
    <w:name w:val="annotation text"/>
    <w:basedOn w:val="1"/>
    <w:link w:val="22"/>
    <w:semiHidden/>
    <w:unhideWhenUsed/>
    <w:qFormat/>
    <w:uiPriority w:val="99"/>
    <w:pPr>
      <w:jc w:val="left"/>
    </w:pPr>
  </w:style>
  <w:style w:type="paragraph" w:styleId="6">
    <w:name w:val="Balloon Text"/>
    <w:basedOn w:val="1"/>
    <w:link w:val="21"/>
    <w:semiHidden/>
    <w:unhideWhenUsed/>
    <w:qFormat/>
    <w:uiPriority w:val="99"/>
    <w:pPr>
      <w:spacing w:line="240" w:lineRule="auto"/>
    </w:pPr>
    <w:rPr>
      <w:sz w:val="18"/>
      <w:szCs w:val="18"/>
    </w:rPr>
  </w:style>
  <w:style w:type="paragraph" w:styleId="7">
    <w:name w:val="footer"/>
    <w:basedOn w:val="1"/>
    <w:link w:val="19"/>
    <w:qFormat/>
    <w:uiPriority w:val="99"/>
    <w:pPr>
      <w:tabs>
        <w:tab w:val="center" w:pos="4153"/>
        <w:tab w:val="right" w:pos="8306"/>
      </w:tabs>
      <w:spacing w:line="240" w:lineRule="atLeast"/>
      <w:jc w:val="left"/>
    </w:pPr>
    <w:rPr>
      <w:sz w:val="18"/>
      <w:szCs w:val="18"/>
    </w:rPr>
  </w:style>
  <w:style w:type="paragraph" w:styleId="8">
    <w:name w:val="header"/>
    <w:basedOn w:val="1"/>
    <w:link w:val="18"/>
    <w:qFormat/>
    <w:uiPriority w:val="99"/>
    <w:pPr>
      <w:pBdr>
        <w:bottom w:val="single" w:color="auto" w:sz="6" w:space="1"/>
      </w:pBdr>
      <w:tabs>
        <w:tab w:val="center" w:pos="4153"/>
        <w:tab w:val="right" w:pos="8306"/>
      </w:tabs>
      <w:spacing w:line="240" w:lineRule="atLeast"/>
      <w:jc w:val="center"/>
    </w:pPr>
    <w:rPr>
      <w:sz w:val="18"/>
      <w:szCs w:val="18"/>
    </w:rPr>
  </w:style>
  <w:style w:type="paragraph" w:styleId="9">
    <w:name w:val="Title"/>
    <w:basedOn w:val="2"/>
    <w:next w:val="1"/>
    <w:link w:val="15"/>
    <w:qFormat/>
    <w:uiPriority w:val="10"/>
    <w:pPr>
      <w:spacing w:beforeLines="50" w:after="0" w:line="360" w:lineRule="auto"/>
      <w:ind w:firstLine="0" w:firstLineChars="0"/>
      <w:jc w:val="center"/>
    </w:pPr>
    <w:rPr>
      <w:rFonts w:ascii="Cambria" w:hAnsi="Cambria" w:eastAsia="黑体" w:cs="宋体"/>
      <w:b w:val="0"/>
      <w:bCs w:val="0"/>
      <w:sz w:val="36"/>
      <w:szCs w:val="32"/>
    </w:rPr>
  </w:style>
  <w:style w:type="paragraph" w:styleId="10">
    <w:name w:val="annotation subject"/>
    <w:basedOn w:val="5"/>
    <w:next w:val="5"/>
    <w:link w:val="23"/>
    <w:semiHidden/>
    <w:unhideWhenUsed/>
    <w:qFormat/>
    <w:uiPriority w:val="99"/>
    <w:rPr>
      <w:b/>
      <w:bCs/>
    </w:rPr>
  </w:style>
  <w:style w:type="character" w:styleId="13">
    <w:name w:val="annotation reference"/>
    <w:basedOn w:val="12"/>
    <w:semiHidden/>
    <w:unhideWhenUsed/>
    <w:qFormat/>
    <w:uiPriority w:val="99"/>
    <w:rPr>
      <w:sz w:val="21"/>
      <w:szCs w:val="21"/>
    </w:rPr>
  </w:style>
  <w:style w:type="character" w:customStyle="1" w:styleId="14">
    <w:name w:val="标题 2 Char"/>
    <w:basedOn w:val="12"/>
    <w:link w:val="3"/>
    <w:qFormat/>
    <w:uiPriority w:val="0"/>
    <w:rPr>
      <w:rFonts w:ascii="Arial" w:hAnsi="Arial" w:eastAsia="黑体" w:cs="Times New Roman"/>
      <w:bCs/>
      <w:kern w:val="0"/>
      <w:sz w:val="28"/>
      <w:szCs w:val="32"/>
    </w:rPr>
  </w:style>
  <w:style w:type="character" w:customStyle="1" w:styleId="15">
    <w:name w:val="标题 Char"/>
    <w:link w:val="9"/>
    <w:qFormat/>
    <w:uiPriority w:val="0"/>
    <w:rPr>
      <w:rFonts w:ascii="Cambria" w:hAnsi="Cambria" w:eastAsia="黑体"/>
      <w:kern w:val="44"/>
      <w:sz w:val="36"/>
      <w:szCs w:val="32"/>
    </w:rPr>
  </w:style>
  <w:style w:type="character" w:customStyle="1" w:styleId="16">
    <w:name w:val="标题 字符1"/>
    <w:basedOn w:val="12"/>
    <w:qFormat/>
    <w:uiPriority w:val="10"/>
    <w:rPr>
      <w:rFonts w:ascii="等线 Light" w:hAnsi="等线 Light" w:eastAsia="等线 Light" w:cs="宋体"/>
      <w:b/>
      <w:bCs/>
      <w:sz w:val="32"/>
      <w:szCs w:val="32"/>
    </w:rPr>
  </w:style>
  <w:style w:type="character" w:customStyle="1" w:styleId="17">
    <w:name w:val="标题 1 Char"/>
    <w:basedOn w:val="12"/>
    <w:link w:val="2"/>
    <w:qFormat/>
    <w:uiPriority w:val="9"/>
    <w:rPr>
      <w:rFonts w:ascii="Times New Roman" w:hAnsi="Times New Roman" w:eastAsia="宋体" w:cs="Times New Roman"/>
      <w:b/>
      <w:bCs/>
      <w:kern w:val="44"/>
      <w:sz w:val="44"/>
      <w:szCs w:val="44"/>
    </w:rPr>
  </w:style>
  <w:style w:type="character" w:customStyle="1" w:styleId="18">
    <w:name w:val="页眉 Char"/>
    <w:basedOn w:val="12"/>
    <w:link w:val="8"/>
    <w:qFormat/>
    <w:uiPriority w:val="99"/>
    <w:rPr>
      <w:rFonts w:ascii="Times New Roman" w:hAnsi="Times New Roman" w:eastAsia="宋体" w:cs="Times New Roman"/>
      <w:sz w:val="18"/>
      <w:szCs w:val="18"/>
    </w:rPr>
  </w:style>
  <w:style w:type="character" w:customStyle="1" w:styleId="19">
    <w:name w:val="页脚 Char"/>
    <w:basedOn w:val="12"/>
    <w:link w:val="7"/>
    <w:qFormat/>
    <w:uiPriority w:val="99"/>
    <w:rPr>
      <w:rFonts w:ascii="Times New Roman" w:hAnsi="Times New Roman" w:eastAsia="宋体" w:cs="Times New Roman"/>
      <w:sz w:val="18"/>
      <w:szCs w:val="18"/>
    </w:rPr>
  </w:style>
  <w:style w:type="paragraph" w:customStyle="1" w:styleId="20">
    <w:name w:val="修订1"/>
    <w:hidden/>
    <w:semiHidden/>
    <w:qFormat/>
    <w:uiPriority w:val="99"/>
    <w:rPr>
      <w:rFonts w:ascii="Times New Roman" w:hAnsi="Times New Roman" w:eastAsia="宋体" w:cs="Times New Roman"/>
      <w:kern w:val="2"/>
      <w:sz w:val="24"/>
      <w:lang w:val="en-US" w:eastAsia="zh-CN" w:bidi="ar-SA"/>
    </w:rPr>
  </w:style>
  <w:style w:type="character" w:customStyle="1" w:styleId="21">
    <w:name w:val="批注框文本 Char"/>
    <w:basedOn w:val="12"/>
    <w:link w:val="6"/>
    <w:semiHidden/>
    <w:qFormat/>
    <w:uiPriority w:val="99"/>
    <w:rPr>
      <w:rFonts w:ascii="Times New Roman" w:hAnsi="Times New Roman" w:eastAsia="宋体" w:cs="Times New Roman"/>
      <w:sz w:val="18"/>
      <w:szCs w:val="18"/>
    </w:rPr>
  </w:style>
  <w:style w:type="character" w:customStyle="1" w:styleId="22">
    <w:name w:val="批注文字 Char"/>
    <w:basedOn w:val="12"/>
    <w:link w:val="5"/>
    <w:semiHidden/>
    <w:qFormat/>
    <w:uiPriority w:val="99"/>
    <w:rPr>
      <w:rFonts w:ascii="Times New Roman" w:hAnsi="Times New Roman" w:eastAsia="宋体" w:cs="Times New Roman"/>
      <w:sz w:val="24"/>
      <w:szCs w:val="20"/>
    </w:rPr>
  </w:style>
  <w:style w:type="character" w:customStyle="1" w:styleId="23">
    <w:name w:val="批注主题 Char"/>
    <w:basedOn w:val="22"/>
    <w:link w:val="10"/>
    <w:semiHidden/>
    <w:qFormat/>
    <w:uiPriority w:val="99"/>
    <w:rPr>
      <w:rFonts w:ascii="Times New Roman" w:hAnsi="Times New Roman" w:eastAsia="宋体" w:cs="Times New Roman"/>
      <w:b/>
      <w:bCs/>
      <w:sz w:val="24"/>
      <w:szCs w:val="20"/>
    </w:rPr>
  </w:style>
  <w:style w:type="character" w:styleId="24">
    <w:name w:val="Placeholder Text"/>
    <w:basedOn w:val="12"/>
    <w:unhideWhenUsed/>
    <w:qFormat/>
    <w:uiPriority w:val="99"/>
    <w:rPr>
      <w:color w:val="808080"/>
    </w:rPr>
  </w:style>
  <w:style w:type="paragraph" w:styleId="25">
    <w:name w:val="List Paragraph"/>
    <w:basedOn w:val="1"/>
    <w:unhideWhenUsed/>
    <w:qFormat/>
    <w:uiPriority w:val="99"/>
    <w:pPr>
      <w:ind w:firstLine="420"/>
    </w:pPr>
  </w:style>
  <w:style w:type="paragraph" w:styleId="26">
    <w:name w:val="No Spacing"/>
    <w:link w:val="27"/>
    <w:qFormat/>
    <w:uiPriority w:val="1"/>
    <w:pPr>
      <w:adjustRightInd w:val="0"/>
      <w:snapToGrid w:val="0"/>
    </w:pPr>
    <w:rPr>
      <w:rFonts w:ascii="Calibri" w:hAnsi="Calibri" w:eastAsiaTheme="minorEastAsia" w:cstheme="minorBidi"/>
      <w:sz w:val="22"/>
      <w:szCs w:val="22"/>
      <w:lang w:val="en-US" w:eastAsia="zh-CN" w:bidi="ar-SA"/>
    </w:rPr>
  </w:style>
  <w:style w:type="character" w:customStyle="1" w:styleId="27">
    <w:name w:val="无间隔 Char"/>
    <w:link w:val="26"/>
    <w:qFormat/>
    <w:uiPriority w:val="1"/>
    <w:rPr>
      <w:rFonts w:ascii="Calibri" w:hAnsi="Calibri" w:eastAsiaTheme="minorEastAsia" w:cstheme="minorBidi"/>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864BD-F670-4971-9245-14DC461DB18D}">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1788</Words>
  <Characters>2144</Characters>
  <Lines>17</Lines>
  <Paragraphs>4</Paragraphs>
  <TotalTime>0</TotalTime>
  <ScaleCrop>false</ScaleCrop>
  <LinksUpToDate>false</LinksUpToDate>
  <CharactersWithSpaces>2271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2022-06-30T03:47:00Z</dcterms:created>
  <dc:creator>田森 TIANSEN</dc:creator>
  <cp:lastModifiedBy>Administrator</cp:lastModifiedBy>
  <cp:lastPrinted>2022-06-28T02:42:00Z</cp:lastPrinted>
  <dcterms:modified xsi:type="dcterms:W3CDTF">2022-12-17T04:18:19Z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4026c6ab86fa4b0d9fc6ecd7a516541a</vt:lpwstr>
  </property>
  <property fmtid="{D5CDD505-2E9C-101B-9397-08002B2CF9AE}" pid="3" name="KSOProductBuildVer">
    <vt:lpwstr>2052-11.1.0.12980</vt:lpwstr>
  </property>
</Properties>
</file>