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</w:rPr>
      </w:pPr>
      <w:bookmarkStart w:id="0" w:name="_Toc14701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</w:rPr>
        <w:t>钒铁打结项目用材料功能验收要求</w:t>
      </w:r>
      <w:bookmarkEnd w:id="0"/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、理化指标要求MgO≥88%，CaO≤5%， SiO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≤5%，灼烧减量≤0.5%。未能达到理化指标要求的，按公司规定处理；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、粒度要求（3-10mm）：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5-10mm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占比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为合格，＜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按比例考核（核减金额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=合同单价*（50%-检验比例）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mm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占比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为合格，＜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按比例考核（核减金额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=合同单价*（40%-检验比例）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≤3mm≥10mm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要求占比≤10%，占比≤10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为合格，占比＞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按比例考核（核减金额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=合同单价*（检验比例-10%）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≥12mm要求不得有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若出现多个指标不合格，按考核金额最大的进行考核，不重复考核。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每袋镁砂严格按照粒度比例混合均匀。如因粒度未能达到要求，需冶材公司处理的，则处理费用由供应商全额承担，并承担相应考核；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、包装：吨袋包装。包装物无破损。如因破损造成损失的，供应商全额承担，并承担相应考核；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、外观：产品中不得有影响钒铁冶炼作业的异物（如金属物件、混泥土块等），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如连续发现两次异物，考核5000元。同一批次发现三次异物的，该批次材料做退货处理。如需冶材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公司处理的，则处理费用由供应商全额承担，并承担相应考核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、所有产品应同时满足使用单位功能验收要求。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功能验收标准具体如下：</w:t>
      </w:r>
    </w:p>
    <w:p>
      <w:pPr>
        <w:tabs>
          <w:tab w:val="left" w:pos="540"/>
        </w:tabs>
        <w:spacing w:line="360" w:lineRule="auto"/>
        <w:ind w:firstLine="633" w:firstLineChars="198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耐材质量问题影响钒铁质量及收率，视具体情况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核500元～5000元/炉。</w:t>
      </w:r>
    </w:p>
    <w:p>
      <w:pPr>
        <w:tabs>
          <w:tab w:val="left" w:pos="540"/>
        </w:tabs>
        <w:spacing w:line="360" w:lineRule="auto"/>
        <w:ind w:firstLine="633" w:firstLineChars="198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2、因耐材物料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影响甲方生产，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核1000元～5000元/次。</w:t>
      </w:r>
    </w:p>
    <w:p>
      <w:pPr>
        <w:tabs>
          <w:tab w:val="left" w:pos="540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3、所使用的耐材物料必须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确保炉体满足冶炼通电时间≥100min的要求，冶炼过程不发生漏炉事故。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以一个工作年为考核周期，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冶炼炉第一次漏炉，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核5000元；重复发生，则依次加倍，即：第二次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核10000元，第三次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核20000元……以此类推；漏炉导致的钒损失、设备设施损坏按实际损失协商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核。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耐材物料问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题导致冶炼时间缩短，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核1000元/次。</w:t>
      </w:r>
    </w:p>
    <w:p>
      <w:pPr>
        <w:tabs>
          <w:tab w:val="left" w:pos="540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水淬后，炉底耐材侵蚀厚度≤15mm，侵蚀15～30mm，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核300元/炉，侵蚀30～50mm，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核500元/炉，侵蚀＞50mm，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核1000元/炉，并按每超10mm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1000元递增（测最厚部位）。</w:t>
      </w:r>
    </w:p>
    <w:p>
      <w:pPr>
        <w:tabs>
          <w:tab w:val="left" w:pos="540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、合金饼形状应规整、夹渣少，尺寸无明显变大或局部明显异常凸起等外形不规则现象。若老炉体合金饼直径＞1800mm（新炉体＞1900mm）或边缘出现明显异常凸起，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核500元/炉。</w:t>
      </w:r>
    </w:p>
    <w:p>
      <w:pPr>
        <w:tabs>
          <w:tab w:val="left" w:pos="540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因耐材质量问题造成的损失由供方全部承担。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OWJjZWUwZjFkM2U2ODk4ZWRmNmMxOGZiMWJmZDMifQ=="/>
  </w:docVars>
  <w:rsids>
    <w:rsidRoot w:val="303471A9"/>
    <w:rsid w:val="303471A9"/>
    <w:rsid w:val="4ACB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850</Words>
  <Characters>981</Characters>
  <Lines>0</Lines>
  <Paragraphs>0</Paragraphs>
  <TotalTime>1</TotalTime>
  <ScaleCrop>false</ScaleCrop>
  <LinksUpToDate>false</LinksUpToDate>
  <CharactersWithSpaces>982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2023-05-08T10:53:00Z</dcterms:created>
  <dc:creator>永远的流星剑</dc:creator>
  <cp:lastModifiedBy>永远的流星剑</cp:lastModifiedBy>
  <dcterms:modified xsi:type="dcterms:W3CDTF">2023-05-08T10:55:50Z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E55EA4FCE8124BB288A3C62902795419_11</vt:lpwstr>
  </property>
</Properties>
</file>