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35CE" w:rsidRDefault="00B035CE" w:rsidP="00B035CE">
      <w:pPr>
        <w:snapToGrid w:val="0"/>
        <w:spacing w:beforeLines="50" w:before="156" w:afterLines="50" w:after="156" w:line="360" w:lineRule="auto"/>
        <w:jc w:val="center"/>
        <w:rPr>
          <w:b/>
          <w:bCs/>
          <w:sz w:val="40"/>
          <w:szCs w:val="40"/>
        </w:rPr>
      </w:pPr>
      <w:r>
        <w:rPr>
          <w:rFonts w:cs="宋体" w:hint="eastAsia"/>
          <w:b/>
          <w:sz w:val="40"/>
          <w:szCs w:val="40"/>
        </w:rPr>
        <w:t>中国钢铁工业清洁生产环境友好企业</w:t>
      </w:r>
      <w:r>
        <w:rPr>
          <w:rFonts w:cs="宋体" w:hint="eastAsia"/>
          <w:b/>
          <w:bCs/>
          <w:sz w:val="40"/>
          <w:szCs w:val="40"/>
        </w:rPr>
        <w:t>申报书</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0"/>
        <w:gridCol w:w="3180"/>
        <w:gridCol w:w="1590"/>
        <w:gridCol w:w="3028"/>
      </w:tblGrid>
      <w:tr w:rsidR="00A76DEC" w:rsidTr="00790A81">
        <w:trPr>
          <w:trHeight w:val="602"/>
          <w:jc w:val="center"/>
        </w:trPr>
        <w:tc>
          <w:tcPr>
            <w:tcW w:w="1520" w:type="dxa"/>
            <w:vAlign w:val="center"/>
          </w:tcPr>
          <w:p w:rsidR="00A76DEC" w:rsidRDefault="00A76DEC" w:rsidP="00790A81">
            <w:pPr>
              <w:jc w:val="center"/>
              <w:rPr>
                <w:rFonts w:ascii="宋体"/>
                <w:sz w:val="24"/>
              </w:rPr>
            </w:pPr>
            <w:r>
              <w:rPr>
                <w:rFonts w:ascii="宋体" w:hAnsi="宋体" w:cs="宋体" w:hint="eastAsia"/>
                <w:sz w:val="24"/>
              </w:rPr>
              <w:t>企业名称</w:t>
            </w:r>
          </w:p>
        </w:tc>
        <w:tc>
          <w:tcPr>
            <w:tcW w:w="7798" w:type="dxa"/>
            <w:gridSpan w:val="3"/>
            <w:vAlign w:val="center"/>
          </w:tcPr>
          <w:p w:rsidR="00A76DEC" w:rsidRDefault="00A76DEC" w:rsidP="00790A81">
            <w:pPr>
              <w:jc w:val="center"/>
              <w:rPr>
                <w:rFonts w:ascii="宋体"/>
                <w:sz w:val="24"/>
              </w:rPr>
            </w:pPr>
            <w:r>
              <w:rPr>
                <w:rFonts w:ascii="宋体" w:hint="eastAsia"/>
                <w:sz w:val="24"/>
              </w:rPr>
              <w:t>新兴铸管股份有限公司</w:t>
            </w:r>
          </w:p>
        </w:tc>
      </w:tr>
      <w:tr w:rsidR="00A76DEC" w:rsidTr="00790A81">
        <w:trPr>
          <w:cantSplit/>
          <w:trHeight w:val="603"/>
          <w:jc w:val="center"/>
        </w:trPr>
        <w:tc>
          <w:tcPr>
            <w:tcW w:w="1520" w:type="dxa"/>
            <w:vAlign w:val="center"/>
          </w:tcPr>
          <w:p w:rsidR="00A76DEC" w:rsidRDefault="00A76DEC" w:rsidP="00790A81">
            <w:pPr>
              <w:jc w:val="center"/>
              <w:rPr>
                <w:rFonts w:ascii="宋体"/>
                <w:sz w:val="24"/>
              </w:rPr>
            </w:pPr>
            <w:r>
              <w:rPr>
                <w:rFonts w:ascii="宋体" w:hAnsi="宋体" w:cs="宋体" w:hint="eastAsia"/>
                <w:sz w:val="24"/>
              </w:rPr>
              <w:t>母</w:t>
            </w:r>
            <w:r>
              <w:rPr>
                <w:rFonts w:ascii="宋体" w:hAnsi="宋体" w:cs="宋体"/>
                <w:sz w:val="24"/>
              </w:rPr>
              <w:t xml:space="preserve"> </w:t>
            </w:r>
            <w:r>
              <w:rPr>
                <w:rFonts w:ascii="宋体" w:hAnsi="宋体" w:cs="宋体" w:hint="eastAsia"/>
                <w:sz w:val="24"/>
              </w:rPr>
              <w:t>公</w:t>
            </w:r>
            <w:r>
              <w:rPr>
                <w:rFonts w:ascii="宋体" w:hAnsi="宋体" w:cs="宋体"/>
                <w:sz w:val="24"/>
              </w:rPr>
              <w:t xml:space="preserve"> </w:t>
            </w:r>
            <w:r>
              <w:rPr>
                <w:rFonts w:ascii="宋体" w:hAnsi="宋体" w:cs="宋体" w:hint="eastAsia"/>
                <w:sz w:val="24"/>
              </w:rPr>
              <w:t>司</w:t>
            </w:r>
          </w:p>
        </w:tc>
        <w:tc>
          <w:tcPr>
            <w:tcW w:w="7798" w:type="dxa"/>
            <w:gridSpan w:val="3"/>
            <w:vAlign w:val="center"/>
          </w:tcPr>
          <w:p w:rsidR="00A76DEC" w:rsidRDefault="00A76DEC" w:rsidP="00790A81">
            <w:pPr>
              <w:jc w:val="center"/>
              <w:rPr>
                <w:rFonts w:ascii="宋体"/>
              </w:rPr>
            </w:pPr>
            <w:r>
              <w:rPr>
                <w:rFonts w:ascii="宋体" w:hint="eastAsia"/>
                <w:sz w:val="24"/>
              </w:rPr>
              <w:t>新兴际华集团有限公司</w:t>
            </w:r>
          </w:p>
        </w:tc>
      </w:tr>
      <w:tr w:rsidR="00A76DEC" w:rsidTr="00790A81">
        <w:trPr>
          <w:cantSplit/>
          <w:trHeight w:val="603"/>
          <w:jc w:val="center"/>
        </w:trPr>
        <w:tc>
          <w:tcPr>
            <w:tcW w:w="1520" w:type="dxa"/>
            <w:vAlign w:val="center"/>
          </w:tcPr>
          <w:p w:rsidR="00A76DEC" w:rsidRDefault="00A76DEC" w:rsidP="00790A81">
            <w:pPr>
              <w:jc w:val="center"/>
              <w:rPr>
                <w:rFonts w:ascii="宋体"/>
                <w:sz w:val="24"/>
              </w:rPr>
            </w:pPr>
            <w:r>
              <w:rPr>
                <w:rFonts w:ascii="宋体" w:hAnsi="宋体" w:cs="宋体" w:hint="eastAsia"/>
                <w:sz w:val="24"/>
              </w:rPr>
              <w:t>法定代表人</w:t>
            </w:r>
          </w:p>
        </w:tc>
        <w:tc>
          <w:tcPr>
            <w:tcW w:w="3180" w:type="dxa"/>
            <w:vAlign w:val="center"/>
          </w:tcPr>
          <w:p w:rsidR="00A76DEC" w:rsidRDefault="00A76DEC" w:rsidP="00790A81">
            <w:pPr>
              <w:jc w:val="center"/>
              <w:rPr>
                <w:rFonts w:ascii="宋体"/>
                <w:sz w:val="24"/>
              </w:rPr>
            </w:pPr>
          </w:p>
        </w:tc>
        <w:tc>
          <w:tcPr>
            <w:tcW w:w="1590" w:type="dxa"/>
            <w:vAlign w:val="center"/>
          </w:tcPr>
          <w:p w:rsidR="00A76DEC" w:rsidRDefault="00A76DEC" w:rsidP="00790A81">
            <w:pPr>
              <w:jc w:val="center"/>
              <w:rPr>
                <w:rFonts w:ascii="宋体"/>
                <w:sz w:val="24"/>
              </w:rPr>
            </w:pPr>
            <w:r>
              <w:rPr>
                <w:rFonts w:ascii="宋体" w:hAnsi="宋体" w:cs="宋体" w:hint="eastAsia"/>
                <w:sz w:val="24"/>
              </w:rPr>
              <w:t>职　　务</w:t>
            </w:r>
          </w:p>
        </w:tc>
        <w:tc>
          <w:tcPr>
            <w:tcW w:w="3028" w:type="dxa"/>
            <w:vAlign w:val="center"/>
          </w:tcPr>
          <w:p w:rsidR="00A76DEC" w:rsidRDefault="00A76DEC" w:rsidP="00790A81">
            <w:pPr>
              <w:jc w:val="center"/>
              <w:rPr>
                <w:rFonts w:ascii="宋体"/>
                <w:sz w:val="24"/>
              </w:rPr>
            </w:pPr>
          </w:p>
        </w:tc>
      </w:tr>
      <w:tr w:rsidR="00A76DEC" w:rsidTr="00790A81">
        <w:trPr>
          <w:cantSplit/>
          <w:trHeight w:val="603"/>
          <w:jc w:val="center"/>
        </w:trPr>
        <w:tc>
          <w:tcPr>
            <w:tcW w:w="1520" w:type="dxa"/>
            <w:vAlign w:val="center"/>
          </w:tcPr>
          <w:p w:rsidR="00A76DEC" w:rsidRDefault="00A76DEC" w:rsidP="00790A81">
            <w:pPr>
              <w:jc w:val="center"/>
              <w:rPr>
                <w:rFonts w:ascii="宋体"/>
                <w:sz w:val="24"/>
              </w:rPr>
            </w:pPr>
            <w:r>
              <w:rPr>
                <w:rFonts w:ascii="宋体" w:hAnsi="宋体" w:cs="宋体" w:hint="eastAsia"/>
                <w:sz w:val="24"/>
              </w:rPr>
              <w:t>联系部门</w:t>
            </w:r>
          </w:p>
        </w:tc>
        <w:tc>
          <w:tcPr>
            <w:tcW w:w="3180" w:type="dxa"/>
            <w:vAlign w:val="center"/>
          </w:tcPr>
          <w:p w:rsidR="00A76DEC" w:rsidRDefault="00A76DEC" w:rsidP="00790A81">
            <w:pPr>
              <w:jc w:val="center"/>
              <w:rPr>
                <w:rFonts w:ascii="宋体"/>
                <w:sz w:val="24"/>
              </w:rPr>
            </w:pPr>
          </w:p>
        </w:tc>
        <w:tc>
          <w:tcPr>
            <w:tcW w:w="1590" w:type="dxa"/>
            <w:vAlign w:val="center"/>
          </w:tcPr>
          <w:p w:rsidR="00A76DEC" w:rsidRDefault="00A76DEC" w:rsidP="00790A81">
            <w:pPr>
              <w:jc w:val="center"/>
              <w:rPr>
                <w:rFonts w:ascii="宋体"/>
                <w:sz w:val="24"/>
              </w:rPr>
            </w:pPr>
            <w:r>
              <w:rPr>
                <w:rFonts w:ascii="宋体" w:hAnsi="宋体" w:cs="宋体" w:hint="eastAsia"/>
                <w:sz w:val="24"/>
              </w:rPr>
              <w:t>联</w:t>
            </w:r>
            <w:r>
              <w:rPr>
                <w:rFonts w:ascii="宋体" w:hAnsi="宋体" w:cs="宋体"/>
                <w:sz w:val="24"/>
              </w:rPr>
              <w:t xml:space="preserve"> </w:t>
            </w:r>
            <w:r>
              <w:rPr>
                <w:rFonts w:ascii="宋体" w:hAnsi="宋体" w:cs="宋体" w:hint="eastAsia"/>
                <w:sz w:val="24"/>
              </w:rPr>
              <w:t>系</w:t>
            </w:r>
            <w:r>
              <w:rPr>
                <w:rFonts w:ascii="宋体" w:hAnsi="宋体" w:cs="宋体"/>
                <w:sz w:val="24"/>
              </w:rPr>
              <w:t xml:space="preserve"> </w:t>
            </w:r>
            <w:r>
              <w:rPr>
                <w:rFonts w:ascii="宋体" w:hAnsi="宋体" w:cs="宋体" w:hint="eastAsia"/>
                <w:sz w:val="24"/>
              </w:rPr>
              <w:t>人</w:t>
            </w:r>
          </w:p>
        </w:tc>
        <w:tc>
          <w:tcPr>
            <w:tcW w:w="3028" w:type="dxa"/>
            <w:vAlign w:val="center"/>
          </w:tcPr>
          <w:p w:rsidR="00A76DEC" w:rsidRDefault="00A76DEC" w:rsidP="00790A81">
            <w:pPr>
              <w:jc w:val="center"/>
              <w:rPr>
                <w:rFonts w:ascii="宋体"/>
                <w:sz w:val="24"/>
              </w:rPr>
            </w:pPr>
          </w:p>
        </w:tc>
      </w:tr>
      <w:tr w:rsidR="00A76DEC" w:rsidTr="00790A81">
        <w:trPr>
          <w:cantSplit/>
          <w:trHeight w:val="603"/>
          <w:jc w:val="center"/>
        </w:trPr>
        <w:tc>
          <w:tcPr>
            <w:tcW w:w="1520" w:type="dxa"/>
            <w:vAlign w:val="center"/>
          </w:tcPr>
          <w:p w:rsidR="00A76DEC" w:rsidRDefault="00A76DEC" w:rsidP="00790A81">
            <w:pPr>
              <w:jc w:val="center"/>
              <w:rPr>
                <w:rFonts w:ascii="宋体"/>
                <w:sz w:val="24"/>
              </w:rPr>
            </w:pPr>
            <w:r>
              <w:rPr>
                <w:rFonts w:ascii="宋体" w:hAnsi="宋体" w:cs="宋体" w:hint="eastAsia"/>
                <w:sz w:val="24"/>
              </w:rPr>
              <w:t>联系人职务</w:t>
            </w:r>
          </w:p>
        </w:tc>
        <w:tc>
          <w:tcPr>
            <w:tcW w:w="3180" w:type="dxa"/>
            <w:vAlign w:val="center"/>
          </w:tcPr>
          <w:p w:rsidR="00A76DEC" w:rsidRDefault="00A76DEC" w:rsidP="00790A81">
            <w:pPr>
              <w:jc w:val="center"/>
              <w:rPr>
                <w:rFonts w:ascii="宋体"/>
                <w:sz w:val="24"/>
              </w:rPr>
            </w:pPr>
          </w:p>
        </w:tc>
        <w:tc>
          <w:tcPr>
            <w:tcW w:w="1590" w:type="dxa"/>
            <w:vAlign w:val="center"/>
          </w:tcPr>
          <w:p w:rsidR="00A76DEC" w:rsidRDefault="00A76DEC" w:rsidP="00790A81">
            <w:pPr>
              <w:jc w:val="center"/>
              <w:rPr>
                <w:rFonts w:ascii="宋体"/>
                <w:sz w:val="24"/>
              </w:rPr>
            </w:pPr>
            <w:r>
              <w:rPr>
                <w:rFonts w:ascii="宋体" w:hAnsi="宋体" w:cs="宋体" w:hint="eastAsia"/>
                <w:sz w:val="24"/>
              </w:rPr>
              <w:t>联系人座机</w:t>
            </w:r>
          </w:p>
        </w:tc>
        <w:tc>
          <w:tcPr>
            <w:tcW w:w="3028" w:type="dxa"/>
            <w:vAlign w:val="center"/>
          </w:tcPr>
          <w:p w:rsidR="00A76DEC" w:rsidRDefault="00A76DEC" w:rsidP="00790A81">
            <w:pPr>
              <w:jc w:val="center"/>
              <w:rPr>
                <w:rFonts w:ascii="宋体"/>
                <w:sz w:val="24"/>
              </w:rPr>
            </w:pPr>
          </w:p>
        </w:tc>
      </w:tr>
      <w:tr w:rsidR="00A76DEC" w:rsidTr="00790A81">
        <w:trPr>
          <w:cantSplit/>
          <w:trHeight w:val="603"/>
          <w:jc w:val="center"/>
        </w:trPr>
        <w:tc>
          <w:tcPr>
            <w:tcW w:w="1520" w:type="dxa"/>
            <w:vAlign w:val="center"/>
          </w:tcPr>
          <w:p w:rsidR="00A76DEC" w:rsidRDefault="00A76DEC" w:rsidP="00790A81">
            <w:pPr>
              <w:jc w:val="center"/>
              <w:rPr>
                <w:rFonts w:ascii="宋体"/>
                <w:sz w:val="24"/>
              </w:rPr>
            </w:pPr>
            <w:r>
              <w:rPr>
                <w:rFonts w:ascii="宋体" w:hAnsi="宋体" w:cs="宋体" w:hint="eastAsia"/>
                <w:sz w:val="24"/>
              </w:rPr>
              <w:t>联系人手机</w:t>
            </w:r>
          </w:p>
        </w:tc>
        <w:tc>
          <w:tcPr>
            <w:tcW w:w="3180" w:type="dxa"/>
            <w:vAlign w:val="center"/>
          </w:tcPr>
          <w:p w:rsidR="00A76DEC" w:rsidRDefault="00A76DEC" w:rsidP="00790A81">
            <w:pPr>
              <w:jc w:val="center"/>
              <w:rPr>
                <w:rFonts w:ascii="宋体"/>
                <w:sz w:val="24"/>
              </w:rPr>
            </w:pPr>
          </w:p>
        </w:tc>
        <w:tc>
          <w:tcPr>
            <w:tcW w:w="1590" w:type="dxa"/>
            <w:vAlign w:val="center"/>
          </w:tcPr>
          <w:p w:rsidR="00A76DEC" w:rsidRDefault="00A76DEC" w:rsidP="00790A81">
            <w:pPr>
              <w:jc w:val="center"/>
              <w:rPr>
                <w:rFonts w:ascii="宋体" w:hAnsi="宋体" w:cs="宋体"/>
                <w:sz w:val="24"/>
              </w:rPr>
            </w:pPr>
            <w:r>
              <w:rPr>
                <w:rFonts w:ascii="宋体" w:hAnsi="宋体" w:cs="宋体" w:hint="eastAsia"/>
                <w:sz w:val="24"/>
              </w:rPr>
              <w:t>联系人</w:t>
            </w:r>
            <w:r>
              <w:rPr>
                <w:rFonts w:ascii="宋体" w:hAnsi="宋体" w:cs="宋体"/>
                <w:sz w:val="24"/>
              </w:rPr>
              <w:t>email</w:t>
            </w:r>
          </w:p>
        </w:tc>
        <w:tc>
          <w:tcPr>
            <w:tcW w:w="3028" w:type="dxa"/>
            <w:vAlign w:val="center"/>
          </w:tcPr>
          <w:p w:rsidR="00A76DEC" w:rsidRDefault="00A76DEC" w:rsidP="00790A81">
            <w:pPr>
              <w:jc w:val="center"/>
              <w:rPr>
                <w:rFonts w:ascii="宋体" w:hAnsi="宋体" w:cs="宋体"/>
                <w:sz w:val="24"/>
              </w:rPr>
            </w:pPr>
          </w:p>
        </w:tc>
      </w:tr>
      <w:tr w:rsidR="00A76DEC" w:rsidTr="00790A81">
        <w:trPr>
          <w:trHeight w:val="921"/>
          <w:jc w:val="center"/>
        </w:trPr>
        <w:tc>
          <w:tcPr>
            <w:tcW w:w="1520" w:type="dxa"/>
            <w:vAlign w:val="center"/>
          </w:tcPr>
          <w:p w:rsidR="00A76DEC" w:rsidRDefault="00A76DEC" w:rsidP="00790A81">
            <w:pPr>
              <w:jc w:val="center"/>
              <w:rPr>
                <w:rFonts w:ascii="宋体"/>
                <w:sz w:val="24"/>
              </w:rPr>
            </w:pPr>
            <w:r>
              <w:rPr>
                <w:rFonts w:ascii="宋体" w:hAnsi="宋体" w:cs="宋体" w:hint="eastAsia"/>
                <w:sz w:val="24"/>
              </w:rPr>
              <w:t>通讯地址及邮政编码</w:t>
            </w:r>
          </w:p>
        </w:tc>
        <w:tc>
          <w:tcPr>
            <w:tcW w:w="7798" w:type="dxa"/>
            <w:gridSpan w:val="3"/>
            <w:vAlign w:val="center"/>
          </w:tcPr>
          <w:p w:rsidR="00A76DEC" w:rsidRDefault="00A76DEC" w:rsidP="00790A81">
            <w:pPr>
              <w:jc w:val="center"/>
              <w:rPr>
                <w:rFonts w:ascii="宋体"/>
                <w:sz w:val="24"/>
              </w:rPr>
            </w:pPr>
          </w:p>
        </w:tc>
      </w:tr>
      <w:tr w:rsidR="00A76DEC" w:rsidTr="00790A81">
        <w:trPr>
          <w:trHeight w:val="6370"/>
          <w:jc w:val="center"/>
        </w:trPr>
        <w:tc>
          <w:tcPr>
            <w:tcW w:w="1520" w:type="dxa"/>
            <w:vAlign w:val="center"/>
          </w:tcPr>
          <w:p w:rsidR="00A76DEC" w:rsidRDefault="00A76DEC" w:rsidP="00790A81">
            <w:pPr>
              <w:jc w:val="center"/>
              <w:rPr>
                <w:rFonts w:ascii="宋体"/>
                <w:sz w:val="28"/>
                <w:szCs w:val="28"/>
              </w:rPr>
            </w:pPr>
            <w:r>
              <w:rPr>
                <w:rFonts w:ascii="宋体" w:hAnsi="宋体" w:cs="宋体" w:hint="eastAsia"/>
                <w:sz w:val="28"/>
                <w:szCs w:val="28"/>
              </w:rPr>
              <w:t>声</w:t>
            </w:r>
          </w:p>
          <w:p w:rsidR="00A76DEC" w:rsidRDefault="00A76DEC" w:rsidP="00790A81">
            <w:pPr>
              <w:jc w:val="center"/>
              <w:rPr>
                <w:rFonts w:ascii="宋体"/>
                <w:sz w:val="28"/>
                <w:szCs w:val="28"/>
              </w:rPr>
            </w:pPr>
          </w:p>
          <w:p w:rsidR="00A76DEC" w:rsidRDefault="00A76DEC" w:rsidP="00790A81">
            <w:pPr>
              <w:jc w:val="center"/>
              <w:rPr>
                <w:rFonts w:ascii="宋体"/>
                <w:sz w:val="28"/>
                <w:szCs w:val="28"/>
              </w:rPr>
            </w:pPr>
          </w:p>
          <w:p w:rsidR="00A76DEC" w:rsidRDefault="00A76DEC" w:rsidP="00790A81">
            <w:pPr>
              <w:jc w:val="center"/>
              <w:rPr>
                <w:rFonts w:ascii="宋体"/>
                <w:sz w:val="24"/>
              </w:rPr>
            </w:pPr>
            <w:r>
              <w:rPr>
                <w:rFonts w:ascii="宋体" w:hAnsi="宋体" w:cs="宋体" w:hint="eastAsia"/>
                <w:sz w:val="28"/>
                <w:szCs w:val="28"/>
              </w:rPr>
              <w:t>明</w:t>
            </w:r>
          </w:p>
        </w:tc>
        <w:tc>
          <w:tcPr>
            <w:tcW w:w="7798" w:type="dxa"/>
            <w:gridSpan w:val="3"/>
            <w:vAlign w:val="center"/>
          </w:tcPr>
          <w:p w:rsidR="00A76DEC" w:rsidRDefault="00A76DEC" w:rsidP="00790A81">
            <w:pPr>
              <w:snapToGrid w:val="0"/>
              <w:spacing w:line="440" w:lineRule="atLeast"/>
              <w:rPr>
                <w:rFonts w:ascii="宋体" w:cs="宋体"/>
                <w:sz w:val="30"/>
                <w:szCs w:val="30"/>
              </w:rPr>
            </w:pPr>
          </w:p>
          <w:p w:rsidR="00A76DEC" w:rsidRDefault="00A76DEC" w:rsidP="00790A81">
            <w:pPr>
              <w:snapToGrid w:val="0"/>
              <w:spacing w:line="440" w:lineRule="atLeast"/>
              <w:ind w:rightChars="120" w:right="252" w:firstLineChars="200" w:firstLine="560"/>
              <w:rPr>
                <w:rFonts w:ascii="仿宋_GB2312" w:eastAsia="仿宋_GB2312"/>
                <w:sz w:val="28"/>
                <w:szCs w:val="28"/>
              </w:rPr>
            </w:pPr>
            <w:r>
              <w:rPr>
                <w:rFonts w:ascii="仿宋_GB2312" w:eastAsia="仿宋_GB2312" w:hAnsi="宋体" w:cs="宋体" w:hint="eastAsia"/>
                <w:sz w:val="28"/>
                <w:szCs w:val="28"/>
              </w:rPr>
              <w:t>申报书所填写内容完全真实、有效，已经经过保密审查，允许向社会公开；同意中国钢铁工业协会及其委托单位就申报书内容进行编辑、修改、发布和出版，无须再次获得本单位认可或授权。</w:t>
            </w:r>
          </w:p>
          <w:p w:rsidR="00A76DEC" w:rsidRDefault="00A76DEC" w:rsidP="00790A81">
            <w:pPr>
              <w:snapToGrid w:val="0"/>
              <w:spacing w:line="440" w:lineRule="atLeast"/>
              <w:ind w:firstLineChars="200" w:firstLine="560"/>
              <w:rPr>
                <w:rFonts w:ascii="仿宋_GB2312" w:eastAsia="仿宋_GB2312"/>
                <w:sz w:val="28"/>
                <w:szCs w:val="28"/>
              </w:rPr>
            </w:pPr>
            <w:r>
              <w:rPr>
                <w:rFonts w:ascii="仿宋_GB2312" w:eastAsia="仿宋_GB2312" w:hAnsi="宋体" w:cs="宋体" w:hint="eastAsia"/>
                <w:sz w:val="28"/>
                <w:szCs w:val="28"/>
              </w:rPr>
              <w:t>特此声明。</w:t>
            </w:r>
          </w:p>
          <w:p w:rsidR="00A76DEC" w:rsidRDefault="00A76DEC" w:rsidP="00790A81">
            <w:pPr>
              <w:snapToGrid w:val="0"/>
              <w:spacing w:line="440" w:lineRule="atLeast"/>
              <w:jc w:val="center"/>
              <w:rPr>
                <w:rFonts w:ascii="仿宋_GB2312" w:eastAsia="仿宋_GB2312"/>
                <w:sz w:val="30"/>
                <w:szCs w:val="30"/>
              </w:rPr>
            </w:pPr>
          </w:p>
          <w:p w:rsidR="00A76DEC" w:rsidRDefault="00A76DEC" w:rsidP="00790A81">
            <w:pPr>
              <w:snapToGrid w:val="0"/>
              <w:spacing w:line="440" w:lineRule="atLeast"/>
              <w:jc w:val="center"/>
              <w:rPr>
                <w:rFonts w:ascii="仿宋_GB2312" w:eastAsia="仿宋_GB2312"/>
                <w:sz w:val="30"/>
                <w:szCs w:val="30"/>
              </w:rPr>
            </w:pPr>
          </w:p>
          <w:p w:rsidR="00A76DEC" w:rsidRDefault="00A76DEC" w:rsidP="00790A81">
            <w:pPr>
              <w:snapToGrid w:val="0"/>
              <w:spacing w:line="440" w:lineRule="atLeast"/>
              <w:jc w:val="center"/>
              <w:rPr>
                <w:rFonts w:ascii="仿宋_GB2312" w:eastAsia="仿宋_GB2312"/>
                <w:sz w:val="30"/>
                <w:szCs w:val="30"/>
              </w:rPr>
            </w:pPr>
          </w:p>
          <w:p w:rsidR="00A76DEC" w:rsidRDefault="00A76DEC" w:rsidP="00790A81">
            <w:pPr>
              <w:snapToGrid w:val="0"/>
              <w:spacing w:line="440" w:lineRule="atLeast"/>
              <w:jc w:val="center"/>
              <w:rPr>
                <w:rFonts w:ascii="仿宋_GB2312" w:eastAsia="仿宋_GB2312" w:cs="宋体"/>
                <w:sz w:val="28"/>
                <w:szCs w:val="28"/>
              </w:rPr>
            </w:pPr>
            <w:r>
              <w:rPr>
                <w:rFonts w:ascii="仿宋_GB2312" w:eastAsia="仿宋_GB2312" w:hAnsi="宋体" w:cs="宋体" w:hint="eastAsia"/>
                <w:sz w:val="28"/>
                <w:szCs w:val="28"/>
              </w:rPr>
              <w:t>单位法人代表签字</w:t>
            </w:r>
          </w:p>
          <w:p w:rsidR="00A76DEC" w:rsidRDefault="00A76DEC" w:rsidP="00790A81">
            <w:pPr>
              <w:snapToGrid w:val="0"/>
              <w:spacing w:line="440" w:lineRule="atLeast"/>
              <w:jc w:val="center"/>
              <w:rPr>
                <w:rFonts w:ascii="仿宋_GB2312" w:eastAsia="仿宋_GB2312" w:cs="宋体"/>
                <w:sz w:val="28"/>
                <w:szCs w:val="28"/>
              </w:rPr>
            </w:pPr>
          </w:p>
          <w:p w:rsidR="00A76DEC" w:rsidRDefault="00A76DEC" w:rsidP="00790A81">
            <w:pPr>
              <w:snapToGrid w:val="0"/>
              <w:spacing w:line="440" w:lineRule="atLeast"/>
              <w:jc w:val="center"/>
              <w:rPr>
                <w:rFonts w:ascii="仿宋_GB2312" w:eastAsia="仿宋_GB2312" w:hAnsi="宋体" w:cs="宋体"/>
                <w:sz w:val="28"/>
                <w:szCs w:val="28"/>
              </w:rPr>
            </w:pPr>
            <w:r>
              <w:rPr>
                <w:rFonts w:ascii="仿宋_GB2312" w:eastAsia="仿宋_GB2312" w:hAnsi="宋体" w:cs="宋体" w:hint="eastAsia"/>
                <w:sz w:val="28"/>
                <w:szCs w:val="28"/>
              </w:rPr>
              <w:t>单位盖章</w:t>
            </w:r>
          </w:p>
          <w:p w:rsidR="00A76DEC" w:rsidRDefault="00A76DEC" w:rsidP="00790A81">
            <w:pPr>
              <w:snapToGrid w:val="0"/>
              <w:spacing w:line="440" w:lineRule="atLeast"/>
              <w:jc w:val="center"/>
              <w:rPr>
                <w:rFonts w:ascii="仿宋_GB2312" w:eastAsia="仿宋_GB2312" w:hAnsi="宋体" w:cs="宋体"/>
                <w:sz w:val="30"/>
                <w:szCs w:val="30"/>
              </w:rPr>
            </w:pPr>
          </w:p>
          <w:p w:rsidR="00A76DEC" w:rsidRDefault="00A76DEC" w:rsidP="001F3E1B">
            <w:pPr>
              <w:snapToGrid w:val="0"/>
              <w:spacing w:line="440" w:lineRule="atLeast"/>
              <w:ind w:rightChars="800" w:right="1680"/>
              <w:jc w:val="right"/>
              <w:rPr>
                <w:rFonts w:ascii="仿宋_GB2312" w:eastAsia="仿宋_GB2312" w:hAnsi="宋体" w:cs="宋体"/>
                <w:sz w:val="30"/>
                <w:szCs w:val="30"/>
              </w:rPr>
            </w:pPr>
            <w:r>
              <w:rPr>
                <w:rFonts w:ascii="仿宋_GB2312" w:eastAsia="仿宋_GB2312" w:hAnsi="宋体" w:cs="宋体" w:hint="eastAsia"/>
                <w:sz w:val="30"/>
                <w:szCs w:val="30"/>
              </w:rPr>
              <w:t>年月</w:t>
            </w:r>
            <w:bookmarkStart w:id="0" w:name="_GoBack"/>
            <w:bookmarkEnd w:id="0"/>
            <w:r>
              <w:rPr>
                <w:rFonts w:ascii="仿宋_GB2312" w:eastAsia="仿宋_GB2312" w:hAnsi="宋体" w:cs="宋体" w:hint="eastAsia"/>
                <w:sz w:val="30"/>
                <w:szCs w:val="30"/>
              </w:rPr>
              <w:t>日</w:t>
            </w:r>
          </w:p>
          <w:p w:rsidR="00A76DEC" w:rsidRDefault="00A76DEC" w:rsidP="00790A81">
            <w:pPr>
              <w:jc w:val="center"/>
              <w:rPr>
                <w:rFonts w:ascii="宋体"/>
                <w:sz w:val="24"/>
              </w:rPr>
            </w:pPr>
          </w:p>
        </w:tc>
      </w:tr>
    </w:tbl>
    <w:p w:rsidR="00C72DBD" w:rsidRDefault="00FC0A09" w:rsidP="00A76DEC">
      <w:pPr>
        <w:spacing w:afterLines="50" w:after="156"/>
        <w:jc w:val="center"/>
        <w:rPr>
          <w:rFonts w:eastAsia="黑体" w:cs="黑体"/>
          <w:sz w:val="36"/>
          <w:szCs w:val="36"/>
        </w:rPr>
      </w:pPr>
      <w:r>
        <w:rPr>
          <w:rFonts w:eastAsia="黑体"/>
          <w:sz w:val="32"/>
          <w:szCs w:val="32"/>
        </w:rPr>
        <w:br w:type="page"/>
      </w:r>
      <w:r>
        <w:rPr>
          <w:rFonts w:eastAsia="黑体" w:cs="黑体" w:hint="eastAsia"/>
          <w:sz w:val="36"/>
          <w:szCs w:val="36"/>
        </w:rPr>
        <w:lastRenderedPageBreak/>
        <w:t>一、企业清洁生产环境友好基本情况</w:t>
      </w:r>
    </w:p>
    <w:tbl>
      <w:tblPr>
        <w:tblW w:w="9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1"/>
      </w:tblGrid>
      <w:tr w:rsidR="00C72DBD">
        <w:trPr>
          <w:trHeight w:val="12752"/>
          <w:jc w:val="center"/>
        </w:trPr>
        <w:tc>
          <w:tcPr>
            <w:tcW w:w="9461" w:type="dxa"/>
          </w:tcPr>
          <w:p w:rsidR="00C72DBD" w:rsidRDefault="00FC0A09">
            <w:pPr>
              <w:rPr>
                <w:rFonts w:ascii="仿宋_GB2312" w:eastAsia="仿宋_GB2312" w:cs="黑体"/>
                <w:sz w:val="24"/>
              </w:rPr>
            </w:pPr>
            <w:r>
              <w:rPr>
                <w:rFonts w:ascii="方正姚体" w:eastAsia="方正姚体" w:cs="方正姚体" w:hint="eastAsia"/>
                <w:b/>
                <w:bCs/>
                <w:sz w:val="24"/>
              </w:rPr>
              <w:t>基本情况</w:t>
            </w:r>
          </w:p>
          <w:p w:rsidR="00C72DBD" w:rsidRDefault="00FC0A09">
            <w:pPr>
              <w:spacing w:line="360" w:lineRule="auto"/>
              <w:rPr>
                <w:rFonts w:ascii="仿宋_GB2312" w:eastAsia="仿宋_GB2312" w:cs="黑体"/>
                <w:sz w:val="24"/>
              </w:rPr>
            </w:pPr>
            <w:r>
              <w:rPr>
                <w:rFonts w:ascii="仿宋_GB2312" w:eastAsia="仿宋_GB2312" w:hAnsi="宋体" w:cs="黑体" w:hint="eastAsia"/>
                <w:sz w:val="24"/>
              </w:rPr>
              <w:t>一、企业简介</w:t>
            </w:r>
          </w:p>
          <w:p w:rsidR="00C72DBD" w:rsidRDefault="00FC0A09">
            <w:pPr>
              <w:spacing w:line="360" w:lineRule="auto"/>
              <w:rPr>
                <w:rFonts w:ascii="仿宋_GB2312" w:eastAsia="仿宋_GB2312" w:hAnsi="宋体" w:cs="黑体"/>
                <w:sz w:val="24"/>
              </w:rPr>
            </w:pPr>
            <w:r>
              <w:rPr>
                <w:rFonts w:ascii="仿宋_GB2312" w:eastAsia="仿宋_GB2312" w:hAnsi="宋体" w:cs="黑体"/>
                <w:sz w:val="24"/>
              </w:rPr>
              <w:t>1</w:t>
            </w:r>
            <w:r>
              <w:rPr>
                <w:rFonts w:ascii="仿宋_GB2312" w:eastAsia="仿宋_GB2312" w:hAnsi="宋体" w:cs="黑体" w:hint="eastAsia"/>
                <w:sz w:val="24"/>
              </w:rPr>
              <w:t>、建厂、大规模新建和改造时间</w:t>
            </w:r>
          </w:p>
          <w:p w:rsidR="00C72DBD" w:rsidRDefault="00FC0A09">
            <w:pPr>
              <w:spacing w:line="360" w:lineRule="auto"/>
              <w:ind w:firstLineChars="200" w:firstLine="480"/>
              <w:rPr>
                <w:rFonts w:eastAsia="仿宋_GB2312"/>
                <w:sz w:val="24"/>
              </w:rPr>
            </w:pPr>
            <w:r>
              <w:rPr>
                <w:rFonts w:eastAsia="仿宋_GB2312"/>
                <w:sz w:val="24"/>
              </w:rPr>
              <w:t>新兴铸管股份有限公司源于</w:t>
            </w:r>
            <w:r>
              <w:rPr>
                <w:rFonts w:eastAsia="仿宋_GB2312"/>
                <w:sz w:val="24"/>
              </w:rPr>
              <w:t>1971</w:t>
            </w:r>
            <w:r>
              <w:rPr>
                <w:rFonts w:eastAsia="仿宋_GB2312"/>
                <w:sz w:val="24"/>
              </w:rPr>
              <w:t>年成立的中国人民解放军第</w:t>
            </w:r>
            <w:r>
              <w:rPr>
                <w:rFonts w:eastAsia="仿宋_GB2312" w:hint="eastAsia"/>
                <w:sz w:val="24"/>
              </w:rPr>
              <w:t>2672</w:t>
            </w:r>
            <w:r>
              <w:rPr>
                <w:rFonts w:eastAsia="仿宋_GB2312"/>
                <w:sz w:val="24"/>
              </w:rPr>
              <w:t>工程指挥部，</w:t>
            </w:r>
            <w:r>
              <w:rPr>
                <w:rFonts w:eastAsia="仿宋_GB2312"/>
                <w:sz w:val="24"/>
              </w:rPr>
              <w:t>1996</w:t>
            </w:r>
            <w:r>
              <w:rPr>
                <w:rFonts w:eastAsia="仿宋_GB2312"/>
                <w:sz w:val="24"/>
              </w:rPr>
              <w:t>年改制为国有独资有限公司，</w:t>
            </w:r>
            <w:r>
              <w:rPr>
                <w:rFonts w:eastAsia="仿宋_GB2312"/>
                <w:sz w:val="24"/>
              </w:rPr>
              <w:t>1997</w:t>
            </w:r>
            <w:r>
              <w:rPr>
                <w:rFonts w:eastAsia="仿宋_GB2312"/>
                <w:sz w:val="24"/>
              </w:rPr>
              <w:t>年在深交所上市。</w:t>
            </w:r>
            <w:r>
              <w:rPr>
                <w:rFonts w:eastAsia="仿宋_GB2312" w:hint="eastAsia"/>
                <w:sz w:val="24"/>
              </w:rPr>
              <w:t>新兴铸管</w:t>
            </w:r>
            <w:r>
              <w:rPr>
                <w:rFonts w:eastAsia="仿宋_GB2312"/>
                <w:sz w:val="24"/>
              </w:rPr>
              <w:t>作为国资委监管央企新兴际华集团的核心企业，是全球最大的球墨铸铁管及管铸件研发制造商和国内最具竞争力的钢铁产品研发制造商。</w:t>
            </w:r>
          </w:p>
          <w:p w:rsidR="00C72DBD" w:rsidRDefault="00FC0A09">
            <w:pPr>
              <w:spacing w:line="360" w:lineRule="auto"/>
              <w:ind w:firstLineChars="200" w:firstLine="480"/>
              <w:rPr>
                <w:rFonts w:eastAsia="仿宋_GB2312"/>
                <w:sz w:val="24"/>
              </w:rPr>
            </w:pPr>
            <w:r>
              <w:rPr>
                <w:rFonts w:eastAsia="仿宋_GB2312" w:hint="eastAsia"/>
                <w:sz w:val="24"/>
              </w:rPr>
              <w:t>截止</w:t>
            </w:r>
            <w:r>
              <w:rPr>
                <w:rFonts w:eastAsia="仿宋_GB2312" w:hint="eastAsia"/>
                <w:sz w:val="24"/>
              </w:rPr>
              <w:t>2024</w:t>
            </w:r>
            <w:r>
              <w:rPr>
                <w:rFonts w:eastAsia="仿宋_GB2312" w:hint="eastAsia"/>
                <w:sz w:val="24"/>
              </w:rPr>
              <w:t>年，新兴铸管已有</w:t>
            </w:r>
            <w:r>
              <w:rPr>
                <w:rFonts w:eastAsia="仿宋_GB2312" w:hint="eastAsia"/>
                <w:sz w:val="24"/>
              </w:rPr>
              <w:t>53</w:t>
            </w:r>
            <w:r>
              <w:rPr>
                <w:rFonts w:eastAsia="仿宋_GB2312" w:hint="eastAsia"/>
                <w:sz w:val="24"/>
              </w:rPr>
              <w:t>年辉煌的建厂史，期间逐步完善工序装备改造提升，</w:t>
            </w:r>
            <w:r>
              <w:rPr>
                <w:rFonts w:eastAsia="仿宋_GB2312" w:hint="eastAsia"/>
                <w:sz w:val="24"/>
              </w:rPr>
              <w:t>2014</w:t>
            </w:r>
            <w:r>
              <w:rPr>
                <w:rFonts w:eastAsia="仿宋_GB2312" w:hint="eastAsia"/>
                <w:sz w:val="24"/>
              </w:rPr>
              <w:t>年以来，较大规模的新建装备有：</w:t>
            </w:r>
            <w:r>
              <w:rPr>
                <w:rFonts w:eastAsia="仿宋_GB2312" w:hint="eastAsia"/>
                <w:sz w:val="24"/>
              </w:rPr>
              <w:t>2014</w:t>
            </w:r>
            <w:r>
              <w:rPr>
                <w:rFonts w:eastAsia="仿宋_GB2312" w:hint="eastAsia"/>
                <w:sz w:val="24"/>
              </w:rPr>
              <w:t>年新建</w:t>
            </w:r>
            <w:r>
              <w:rPr>
                <w:rFonts w:eastAsia="仿宋_GB2312" w:hint="eastAsia"/>
                <w:sz w:val="24"/>
              </w:rPr>
              <w:t>1280m</w:t>
            </w:r>
            <w:r>
              <w:rPr>
                <w:rFonts w:eastAsia="仿宋_GB2312" w:hint="eastAsia"/>
                <w:sz w:val="24"/>
                <w:vertAlign w:val="superscript"/>
              </w:rPr>
              <w:t>3</w:t>
            </w:r>
            <w:r>
              <w:rPr>
                <w:rFonts w:eastAsia="仿宋_GB2312" w:hint="eastAsia"/>
                <w:sz w:val="24"/>
              </w:rPr>
              <w:t>高炉及配套烧结机、</w:t>
            </w:r>
            <w:r>
              <w:rPr>
                <w:rFonts w:eastAsia="仿宋_GB2312" w:hint="eastAsia"/>
                <w:sz w:val="24"/>
              </w:rPr>
              <w:t>2020</w:t>
            </w:r>
            <w:r>
              <w:rPr>
                <w:rFonts w:eastAsia="仿宋_GB2312" w:hint="eastAsia"/>
                <w:sz w:val="24"/>
              </w:rPr>
              <w:t>年新建智能化球墨铸铁管生产线、</w:t>
            </w:r>
            <w:r>
              <w:rPr>
                <w:rFonts w:eastAsia="仿宋_GB2312" w:hint="eastAsia"/>
                <w:sz w:val="24"/>
              </w:rPr>
              <w:t>2021</w:t>
            </w:r>
            <w:r>
              <w:rPr>
                <w:rFonts w:eastAsia="仿宋_GB2312" w:hint="eastAsia"/>
                <w:sz w:val="24"/>
              </w:rPr>
              <w:t>年新建焦化工序及配套化产和发电机组等。此外，自</w:t>
            </w:r>
            <w:r>
              <w:rPr>
                <w:rFonts w:eastAsia="仿宋_GB2312" w:hint="eastAsia"/>
                <w:sz w:val="24"/>
              </w:rPr>
              <w:t>2014</w:t>
            </w:r>
            <w:r>
              <w:rPr>
                <w:rFonts w:eastAsia="仿宋_GB2312" w:hint="eastAsia"/>
                <w:sz w:val="24"/>
              </w:rPr>
              <w:t>年以来，新兴铸管持续加大环保投入，并于</w:t>
            </w:r>
            <w:r>
              <w:rPr>
                <w:rFonts w:eastAsia="仿宋_GB2312" w:hint="eastAsia"/>
                <w:sz w:val="24"/>
              </w:rPr>
              <w:t>2018</w:t>
            </w:r>
            <w:r>
              <w:rPr>
                <w:rFonts w:eastAsia="仿宋_GB2312" w:hint="eastAsia"/>
                <w:sz w:val="24"/>
              </w:rPr>
              <w:t>年至</w:t>
            </w:r>
            <w:r>
              <w:rPr>
                <w:rFonts w:eastAsia="仿宋_GB2312" w:hint="eastAsia"/>
                <w:sz w:val="24"/>
              </w:rPr>
              <w:t>2020</w:t>
            </w:r>
            <w:r>
              <w:rPr>
                <w:rFonts w:eastAsia="仿宋_GB2312" w:hint="eastAsia"/>
                <w:sz w:val="24"/>
              </w:rPr>
              <w:t>年完成了全流程超低排放改造，在减污降碳方面取得巨大成效。</w:t>
            </w:r>
          </w:p>
          <w:p w:rsidR="00C72DBD" w:rsidRDefault="00FC0A09">
            <w:pPr>
              <w:spacing w:line="360" w:lineRule="auto"/>
              <w:rPr>
                <w:rFonts w:ascii="仿宋_GB2312" w:eastAsia="仿宋_GB2312" w:hAnsi="宋体" w:cs="黑体"/>
                <w:sz w:val="24"/>
              </w:rPr>
            </w:pPr>
            <w:r>
              <w:rPr>
                <w:rFonts w:ascii="仿宋_GB2312" w:eastAsia="仿宋_GB2312" w:hAnsi="宋体" w:cs="黑体"/>
                <w:sz w:val="24"/>
              </w:rPr>
              <w:t>2</w:t>
            </w:r>
            <w:r>
              <w:rPr>
                <w:rFonts w:ascii="仿宋_GB2312" w:eastAsia="仿宋_GB2312" w:hAnsi="宋体" w:cs="黑体" w:hint="eastAsia"/>
                <w:sz w:val="24"/>
              </w:rPr>
              <w:t>、主要生产工艺与生产装备、生产规模</w:t>
            </w:r>
          </w:p>
          <w:tbl>
            <w:tblPr>
              <w:tblW w:w="47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836"/>
              <w:gridCol w:w="1984"/>
              <w:gridCol w:w="849"/>
              <w:gridCol w:w="1984"/>
            </w:tblGrid>
            <w:tr w:rsidR="00C72DBD">
              <w:trPr>
                <w:trHeight w:val="425"/>
                <w:tblHeader/>
                <w:jc w:val="center"/>
              </w:trPr>
              <w:tc>
                <w:tcPr>
                  <w:tcW w:w="645" w:type="pct"/>
                  <w:vAlign w:val="center"/>
                </w:tcPr>
                <w:p w:rsidR="00C72DBD" w:rsidRDefault="00FC0A09">
                  <w:pPr>
                    <w:widowControl/>
                    <w:overflowPunct w:val="0"/>
                    <w:adjustRightInd w:val="0"/>
                    <w:spacing w:line="240" w:lineRule="exact"/>
                    <w:jc w:val="center"/>
                    <w:textAlignment w:val="baseline"/>
                    <w:rPr>
                      <w:rFonts w:eastAsia="楷体"/>
                      <w:b/>
                      <w:bCs/>
                      <w:color w:val="000000" w:themeColor="text1"/>
                      <w:kern w:val="24"/>
                      <w:szCs w:val="21"/>
                    </w:rPr>
                  </w:pPr>
                  <w:r>
                    <w:rPr>
                      <w:rFonts w:eastAsia="楷体"/>
                      <w:b/>
                      <w:bCs/>
                      <w:color w:val="000000" w:themeColor="text1"/>
                      <w:kern w:val="24"/>
                      <w:szCs w:val="21"/>
                    </w:rPr>
                    <w:t>工</w:t>
                  </w:r>
                  <w:r>
                    <w:rPr>
                      <w:rFonts w:eastAsia="楷体"/>
                      <w:b/>
                      <w:bCs/>
                      <w:color w:val="000000" w:themeColor="text1"/>
                      <w:kern w:val="24"/>
                      <w:szCs w:val="21"/>
                    </w:rPr>
                    <w:t xml:space="preserve">    </w:t>
                  </w:r>
                  <w:r>
                    <w:rPr>
                      <w:rFonts w:eastAsia="楷体"/>
                      <w:b/>
                      <w:bCs/>
                      <w:color w:val="000000" w:themeColor="text1"/>
                      <w:kern w:val="24"/>
                      <w:szCs w:val="21"/>
                    </w:rPr>
                    <w:t>序</w:t>
                  </w:r>
                </w:p>
              </w:tc>
              <w:tc>
                <w:tcPr>
                  <w:tcW w:w="1613" w:type="pct"/>
                  <w:vAlign w:val="center"/>
                </w:tcPr>
                <w:p w:rsidR="00C72DBD" w:rsidRDefault="00FC0A09">
                  <w:pPr>
                    <w:spacing w:line="240" w:lineRule="exact"/>
                    <w:jc w:val="center"/>
                    <w:textAlignment w:val="center"/>
                    <w:rPr>
                      <w:rFonts w:eastAsia="楷体"/>
                      <w:b/>
                      <w:color w:val="000000" w:themeColor="text1"/>
                      <w:szCs w:val="21"/>
                    </w:rPr>
                  </w:pPr>
                  <w:r>
                    <w:rPr>
                      <w:rFonts w:eastAsia="楷体"/>
                      <w:b/>
                      <w:color w:val="000000" w:themeColor="text1"/>
                      <w:szCs w:val="21"/>
                    </w:rPr>
                    <w:t>装备名称</w:t>
                  </w:r>
                </w:p>
              </w:tc>
              <w:tc>
                <w:tcPr>
                  <w:tcW w:w="1128" w:type="pct"/>
                  <w:vAlign w:val="center"/>
                </w:tcPr>
                <w:p w:rsidR="00C72DBD" w:rsidRDefault="00FC0A09">
                  <w:pPr>
                    <w:spacing w:line="240" w:lineRule="exact"/>
                    <w:jc w:val="center"/>
                    <w:textAlignment w:val="center"/>
                    <w:rPr>
                      <w:rFonts w:eastAsia="楷体"/>
                      <w:b/>
                      <w:color w:val="000000" w:themeColor="text1"/>
                      <w:szCs w:val="21"/>
                    </w:rPr>
                  </w:pPr>
                  <w:r>
                    <w:rPr>
                      <w:rFonts w:eastAsia="楷体"/>
                      <w:b/>
                      <w:color w:val="000000" w:themeColor="text1"/>
                      <w:szCs w:val="21"/>
                    </w:rPr>
                    <w:t>规格型号</w:t>
                  </w:r>
                </w:p>
              </w:tc>
              <w:tc>
                <w:tcPr>
                  <w:tcW w:w="483" w:type="pct"/>
                  <w:vAlign w:val="center"/>
                </w:tcPr>
                <w:p w:rsidR="00C72DBD" w:rsidRDefault="00FC0A09">
                  <w:pPr>
                    <w:spacing w:line="240" w:lineRule="exact"/>
                    <w:jc w:val="center"/>
                    <w:textAlignment w:val="center"/>
                    <w:rPr>
                      <w:rFonts w:eastAsia="楷体"/>
                      <w:b/>
                      <w:color w:val="000000" w:themeColor="text1"/>
                      <w:szCs w:val="21"/>
                    </w:rPr>
                  </w:pPr>
                  <w:r>
                    <w:rPr>
                      <w:rFonts w:eastAsia="楷体"/>
                      <w:b/>
                      <w:color w:val="000000" w:themeColor="text1"/>
                      <w:szCs w:val="21"/>
                    </w:rPr>
                    <w:t>数量</w:t>
                  </w:r>
                </w:p>
              </w:tc>
              <w:tc>
                <w:tcPr>
                  <w:tcW w:w="1128" w:type="pct"/>
                  <w:vAlign w:val="center"/>
                </w:tcPr>
                <w:p w:rsidR="00C72DBD" w:rsidRDefault="00FC0A09">
                  <w:pPr>
                    <w:spacing w:line="240" w:lineRule="exact"/>
                    <w:jc w:val="center"/>
                    <w:rPr>
                      <w:rFonts w:eastAsia="楷体"/>
                      <w:b/>
                      <w:color w:val="000000" w:themeColor="text1"/>
                      <w:szCs w:val="21"/>
                    </w:rPr>
                  </w:pPr>
                  <w:r>
                    <w:rPr>
                      <w:rFonts w:eastAsia="楷体"/>
                      <w:b/>
                      <w:color w:val="000000" w:themeColor="text1"/>
                      <w:szCs w:val="21"/>
                    </w:rPr>
                    <w:t>生产能力（</w:t>
                  </w:r>
                  <w:r>
                    <w:rPr>
                      <w:rFonts w:eastAsia="楷体"/>
                      <w:b/>
                      <w:color w:val="000000" w:themeColor="text1"/>
                      <w:szCs w:val="21"/>
                    </w:rPr>
                    <w:t>10</w:t>
                  </w:r>
                  <w:r>
                    <w:rPr>
                      <w:rFonts w:eastAsia="楷体"/>
                      <w:b/>
                      <w:color w:val="000000" w:themeColor="text1"/>
                      <w:szCs w:val="21"/>
                      <w:vertAlign w:val="superscript"/>
                    </w:rPr>
                    <w:t>4</w:t>
                  </w:r>
                  <w:r>
                    <w:rPr>
                      <w:rFonts w:eastAsia="楷体"/>
                      <w:b/>
                      <w:color w:val="000000" w:themeColor="text1"/>
                      <w:szCs w:val="21"/>
                    </w:rPr>
                    <w:t>t</w:t>
                  </w:r>
                  <w:r>
                    <w:rPr>
                      <w:rFonts w:eastAsia="楷体"/>
                      <w:b/>
                      <w:color w:val="000000" w:themeColor="text1"/>
                      <w:szCs w:val="21"/>
                    </w:rPr>
                    <w:t>）</w:t>
                  </w:r>
                </w:p>
              </w:tc>
            </w:tr>
            <w:tr w:rsidR="00C72DBD">
              <w:trPr>
                <w:trHeight w:val="397"/>
                <w:tblHeader/>
                <w:jc w:val="center"/>
              </w:trPr>
              <w:tc>
                <w:tcPr>
                  <w:tcW w:w="645" w:type="pct"/>
                  <w:vMerge w:val="restar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焦化</w:t>
                  </w:r>
                </w:p>
              </w:tc>
              <w:tc>
                <w:tcPr>
                  <w:tcW w:w="1613"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1#</w:t>
                  </w:r>
                  <w:r>
                    <w:rPr>
                      <w:rFonts w:eastAsia="楷体"/>
                      <w:color w:val="000000" w:themeColor="text1"/>
                      <w:kern w:val="24"/>
                      <w:szCs w:val="21"/>
                    </w:rPr>
                    <w:t>焦炉</w:t>
                  </w:r>
                </w:p>
              </w:tc>
              <w:tc>
                <w:tcPr>
                  <w:tcW w:w="1128"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hint="eastAsia"/>
                      <w:color w:val="000000" w:themeColor="text1"/>
                      <w:kern w:val="24"/>
                      <w:szCs w:val="21"/>
                    </w:rPr>
                    <w:t>6.73</w:t>
                  </w:r>
                  <w:r>
                    <w:rPr>
                      <w:rFonts w:eastAsia="楷体"/>
                      <w:color w:val="000000" w:themeColor="text1"/>
                      <w:kern w:val="24"/>
                      <w:szCs w:val="21"/>
                    </w:rPr>
                    <w:t>m</w:t>
                  </w:r>
                  <w:r>
                    <w:rPr>
                      <w:rFonts w:eastAsia="楷体"/>
                      <w:color w:val="000000" w:themeColor="text1"/>
                      <w:kern w:val="24"/>
                      <w:szCs w:val="21"/>
                    </w:rPr>
                    <w:t>捣固焦</w:t>
                  </w:r>
                </w:p>
              </w:tc>
              <w:tc>
                <w:tcPr>
                  <w:tcW w:w="483"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1</w:t>
                  </w:r>
                  <w:r>
                    <w:rPr>
                      <w:rFonts w:eastAsia="楷体"/>
                      <w:color w:val="000000" w:themeColor="text1"/>
                      <w:kern w:val="24"/>
                      <w:szCs w:val="21"/>
                    </w:rPr>
                    <w:t>座</w:t>
                  </w:r>
                </w:p>
              </w:tc>
              <w:tc>
                <w:tcPr>
                  <w:tcW w:w="1128" w:type="pct"/>
                  <w:vMerge w:val="restar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hint="eastAsia"/>
                      <w:color w:val="000000" w:themeColor="text1"/>
                      <w:kern w:val="24"/>
                      <w:szCs w:val="21"/>
                    </w:rPr>
                    <w:t>194</w:t>
                  </w:r>
                </w:p>
              </w:tc>
            </w:tr>
            <w:tr w:rsidR="00C72DBD">
              <w:trPr>
                <w:trHeight w:val="397"/>
                <w:tblHeader/>
                <w:jc w:val="center"/>
              </w:trPr>
              <w:tc>
                <w:tcPr>
                  <w:tcW w:w="645" w:type="pct"/>
                  <w:vMerge/>
                  <w:vAlign w:val="center"/>
                </w:tcPr>
                <w:p w:rsidR="00C72DBD" w:rsidRDefault="00C72DBD">
                  <w:pPr>
                    <w:widowControl/>
                    <w:overflowPunct w:val="0"/>
                    <w:adjustRightInd w:val="0"/>
                    <w:spacing w:line="240" w:lineRule="exact"/>
                    <w:jc w:val="center"/>
                    <w:textAlignment w:val="baseline"/>
                    <w:rPr>
                      <w:rFonts w:eastAsia="楷体"/>
                      <w:color w:val="000000" w:themeColor="text1"/>
                      <w:kern w:val="24"/>
                      <w:szCs w:val="21"/>
                    </w:rPr>
                  </w:pPr>
                </w:p>
              </w:tc>
              <w:tc>
                <w:tcPr>
                  <w:tcW w:w="1613"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2#</w:t>
                  </w:r>
                  <w:r>
                    <w:rPr>
                      <w:rFonts w:eastAsia="楷体"/>
                      <w:color w:val="000000" w:themeColor="text1"/>
                      <w:kern w:val="24"/>
                      <w:szCs w:val="21"/>
                    </w:rPr>
                    <w:t>焦炉</w:t>
                  </w:r>
                </w:p>
              </w:tc>
              <w:tc>
                <w:tcPr>
                  <w:tcW w:w="1128"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hint="eastAsia"/>
                      <w:color w:val="000000" w:themeColor="text1"/>
                      <w:kern w:val="24"/>
                      <w:szCs w:val="21"/>
                    </w:rPr>
                    <w:t>6.73</w:t>
                  </w:r>
                  <w:r>
                    <w:rPr>
                      <w:rFonts w:eastAsia="楷体"/>
                      <w:color w:val="000000" w:themeColor="text1"/>
                      <w:kern w:val="24"/>
                      <w:szCs w:val="21"/>
                    </w:rPr>
                    <w:t>m</w:t>
                  </w:r>
                  <w:r>
                    <w:rPr>
                      <w:rFonts w:eastAsia="楷体"/>
                      <w:color w:val="000000" w:themeColor="text1"/>
                      <w:kern w:val="24"/>
                      <w:szCs w:val="21"/>
                    </w:rPr>
                    <w:t>捣固焦</w:t>
                  </w:r>
                </w:p>
              </w:tc>
              <w:tc>
                <w:tcPr>
                  <w:tcW w:w="483"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1</w:t>
                  </w:r>
                  <w:r>
                    <w:rPr>
                      <w:rFonts w:eastAsia="楷体"/>
                      <w:color w:val="000000" w:themeColor="text1"/>
                      <w:kern w:val="24"/>
                      <w:szCs w:val="21"/>
                    </w:rPr>
                    <w:t>座</w:t>
                  </w:r>
                </w:p>
              </w:tc>
              <w:tc>
                <w:tcPr>
                  <w:tcW w:w="1128" w:type="pct"/>
                  <w:vMerge/>
                  <w:vAlign w:val="center"/>
                </w:tcPr>
                <w:p w:rsidR="00C72DBD" w:rsidRDefault="00C72DBD">
                  <w:pPr>
                    <w:widowControl/>
                    <w:overflowPunct w:val="0"/>
                    <w:adjustRightInd w:val="0"/>
                    <w:spacing w:line="240" w:lineRule="exact"/>
                    <w:jc w:val="center"/>
                    <w:textAlignment w:val="baseline"/>
                    <w:rPr>
                      <w:rFonts w:eastAsia="楷体"/>
                      <w:color w:val="000000" w:themeColor="text1"/>
                      <w:kern w:val="24"/>
                      <w:szCs w:val="21"/>
                    </w:rPr>
                  </w:pPr>
                </w:p>
              </w:tc>
            </w:tr>
            <w:tr w:rsidR="00C72DBD">
              <w:trPr>
                <w:trHeight w:val="397"/>
                <w:tblHeader/>
                <w:jc w:val="center"/>
              </w:trPr>
              <w:tc>
                <w:tcPr>
                  <w:tcW w:w="645" w:type="pct"/>
                  <w:vMerge w:val="restar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烧结</w:t>
                  </w:r>
                </w:p>
              </w:tc>
              <w:tc>
                <w:tcPr>
                  <w:tcW w:w="1613"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1#</w:t>
                  </w:r>
                  <w:r>
                    <w:rPr>
                      <w:rFonts w:eastAsia="楷体"/>
                      <w:color w:val="000000" w:themeColor="text1"/>
                      <w:kern w:val="24"/>
                      <w:szCs w:val="21"/>
                    </w:rPr>
                    <w:t>烧结机</w:t>
                  </w:r>
                </w:p>
              </w:tc>
              <w:tc>
                <w:tcPr>
                  <w:tcW w:w="1128"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hint="eastAsia"/>
                      <w:color w:val="000000" w:themeColor="text1"/>
                      <w:kern w:val="24"/>
                      <w:szCs w:val="21"/>
                    </w:rPr>
                    <w:t>200</w:t>
                  </w:r>
                  <w:r>
                    <w:rPr>
                      <w:rFonts w:eastAsia="楷体"/>
                      <w:color w:val="000000" w:themeColor="text1"/>
                      <w:kern w:val="24"/>
                      <w:szCs w:val="21"/>
                    </w:rPr>
                    <w:t>m</w:t>
                  </w:r>
                  <w:r>
                    <w:rPr>
                      <w:rFonts w:eastAsia="楷体"/>
                      <w:color w:val="000000" w:themeColor="text1"/>
                      <w:kern w:val="24"/>
                      <w:szCs w:val="21"/>
                      <w:vertAlign w:val="superscript"/>
                    </w:rPr>
                    <w:t>2</w:t>
                  </w:r>
                  <w:r>
                    <w:rPr>
                      <w:rFonts w:eastAsia="楷体"/>
                      <w:color w:val="000000" w:themeColor="text1"/>
                      <w:kern w:val="24"/>
                      <w:szCs w:val="21"/>
                    </w:rPr>
                    <w:t>带式</w:t>
                  </w:r>
                </w:p>
              </w:tc>
              <w:tc>
                <w:tcPr>
                  <w:tcW w:w="483"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1</w:t>
                  </w:r>
                  <w:r>
                    <w:rPr>
                      <w:rFonts w:eastAsia="楷体"/>
                      <w:color w:val="000000" w:themeColor="text1"/>
                      <w:kern w:val="24"/>
                      <w:szCs w:val="21"/>
                    </w:rPr>
                    <w:t>台</w:t>
                  </w:r>
                </w:p>
              </w:tc>
              <w:tc>
                <w:tcPr>
                  <w:tcW w:w="1128" w:type="pct"/>
                  <w:vMerge w:val="restar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530</w:t>
                  </w:r>
                </w:p>
              </w:tc>
            </w:tr>
            <w:tr w:rsidR="00C72DBD">
              <w:trPr>
                <w:trHeight w:val="397"/>
                <w:tblHeader/>
                <w:jc w:val="center"/>
              </w:trPr>
              <w:tc>
                <w:tcPr>
                  <w:tcW w:w="645" w:type="pct"/>
                  <w:vMerge/>
                  <w:vAlign w:val="center"/>
                </w:tcPr>
                <w:p w:rsidR="00C72DBD" w:rsidRDefault="00C72DBD">
                  <w:pPr>
                    <w:widowControl/>
                    <w:overflowPunct w:val="0"/>
                    <w:adjustRightInd w:val="0"/>
                    <w:spacing w:line="240" w:lineRule="exact"/>
                    <w:jc w:val="center"/>
                    <w:textAlignment w:val="baseline"/>
                    <w:rPr>
                      <w:rFonts w:eastAsia="楷体"/>
                      <w:color w:val="000000" w:themeColor="text1"/>
                      <w:kern w:val="24"/>
                      <w:szCs w:val="21"/>
                    </w:rPr>
                  </w:pPr>
                </w:p>
              </w:tc>
              <w:tc>
                <w:tcPr>
                  <w:tcW w:w="1613"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2#</w:t>
                  </w:r>
                  <w:r>
                    <w:rPr>
                      <w:rFonts w:eastAsia="楷体"/>
                      <w:color w:val="000000" w:themeColor="text1"/>
                      <w:kern w:val="24"/>
                      <w:szCs w:val="21"/>
                    </w:rPr>
                    <w:t>烧结机（铸造</w:t>
                  </w:r>
                  <w:r>
                    <w:rPr>
                      <w:rFonts w:eastAsia="楷体" w:hint="eastAsia"/>
                      <w:color w:val="000000" w:themeColor="text1"/>
                      <w:kern w:val="24"/>
                      <w:szCs w:val="21"/>
                    </w:rPr>
                    <w:t>烧结</w:t>
                  </w:r>
                  <w:r>
                    <w:rPr>
                      <w:rFonts w:eastAsia="楷体"/>
                      <w:color w:val="000000" w:themeColor="text1"/>
                      <w:kern w:val="24"/>
                      <w:szCs w:val="21"/>
                    </w:rPr>
                    <w:t>）</w:t>
                  </w:r>
                </w:p>
              </w:tc>
              <w:tc>
                <w:tcPr>
                  <w:tcW w:w="1128"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90m</w:t>
                  </w:r>
                  <w:r>
                    <w:rPr>
                      <w:rFonts w:eastAsia="楷体"/>
                      <w:color w:val="000000" w:themeColor="text1"/>
                      <w:kern w:val="24"/>
                      <w:szCs w:val="21"/>
                      <w:vertAlign w:val="superscript"/>
                    </w:rPr>
                    <w:t>2</w:t>
                  </w:r>
                  <w:r>
                    <w:rPr>
                      <w:rFonts w:eastAsia="楷体"/>
                      <w:color w:val="000000" w:themeColor="text1"/>
                      <w:kern w:val="24"/>
                      <w:szCs w:val="21"/>
                    </w:rPr>
                    <w:t>带式</w:t>
                  </w:r>
                </w:p>
              </w:tc>
              <w:tc>
                <w:tcPr>
                  <w:tcW w:w="483"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1</w:t>
                  </w:r>
                  <w:r>
                    <w:rPr>
                      <w:rFonts w:eastAsia="楷体"/>
                      <w:color w:val="000000" w:themeColor="text1"/>
                      <w:kern w:val="24"/>
                      <w:szCs w:val="21"/>
                    </w:rPr>
                    <w:t>台</w:t>
                  </w:r>
                </w:p>
              </w:tc>
              <w:tc>
                <w:tcPr>
                  <w:tcW w:w="1128" w:type="pct"/>
                  <w:vMerge/>
                  <w:vAlign w:val="center"/>
                </w:tcPr>
                <w:p w:rsidR="00C72DBD" w:rsidRDefault="00C72DBD">
                  <w:pPr>
                    <w:widowControl/>
                    <w:overflowPunct w:val="0"/>
                    <w:adjustRightInd w:val="0"/>
                    <w:spacing w:line="240" w:lineRule="exact"/>
                    <w:jc w:val="center"/>
                    <w:textAlignment w:val="baseline"/>
                    <w:rPr>
                      <w:rFonts w:eastAsia="楷体"/>
                      <w:color w:val="000000" w:themeColor="text1"/>
                      <w:kern w:val="24"/>
                      <w:szCs w:val="21"/>
                    </w:rPr>
                  </w:pPr>
                </w:p>
              </w:tc>
            </w:tr>
            <w:tr w:rsidR="00C72DBD">
              <w:trPr>
                <w:trHeight w:val="397"/>
                <w:tblHeader/>
                <w:jc w:val="center"/>
              </w:trPr>
              <w:tc>
                <w:tcPr>
                  <w:tcW w:w="645" w:type="pct"/>
                  <w:vMerge/>
                  <w:vAlign w:val="center"/>
                </w:tcPr>
                <w:p w:rsidR="00C72DBD" w:rsidRDefault="00C72DBD">
                  <w:pPr>
                    <w:widowControl/>
                    <w:overflowPunct w:val="0"/>
                    <w:adjustRightInd w:val="0"/>
                    <w:spacing w:line="240" w:lineRule="exact"/>
                    <w:jc w:val="center"/>
                    <w:textAlignment w:val="baseline"/>
                    <w:rPr>
                      <w:rFonts w:eastAsia="楷体"/>
                      <w:color w:val="000000" w:themeColor="text1"/>
                      <w:kern w:val="24"/>
                      <w:szCs w:val="21"/>
                    </w:rPr>
                  </w:pPr>
                </w:p>
              </w:tc>
              <w:tc>
                <w:tcPr>
                  <w:tcW w:w="1613"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3#</w:t>
                  </w:r>
                  <w:r>
                    <w:rPr>
                      <w:rFonts w:eastAsia="楷体"/>
                      <w:color w:val="000000" w:themeColor="text1"/>
                      <w:kern w:val="24"/>
                      <w:szCs w:val="21"/>
                    </w:rPr>
                    <w:t>烧结机（铸造</w:t>
                  </w:r>
                  <w:r>
                    <w:rPr>
                      <w:rFonts w:eastAsia="楷体" w:hint="eastAsia"/>
                      <w:color w:val="000000" w:themeColor="text1"/>
                      <w:kern w:val="24"/>
                      <w:szCs w:val="21"/>
                    </w:rPr>
                    <w:t>烧结</w:t>
                  </w:r>
                  <w:r>
                    <w:rPr>
                      <w:rFonts w:eastAsia="楷体"/>
                      <w:color w:val="000000" w:themeColor="text1"/>
                      <w:kern w:val="24"/>
                      <w:szCs w:val="21"/>
                    </w:rPr>
                    <w:t>）</w:t>
                  </w:r>
                </w:p>
              </w:tc>
              <w:tc>
                <w:tcPr>
                  <w:tcW w:w="1128"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hint="eastAsia"/>
                      <w:color w:val="000000" w:themeColor="text1"/>
                      <w:kern w:val="24"/>
                      <w:szCs w:val="21"/>
                    </w:rPr>
                    <w:t>90</w:t>
                  </w:r>
                  <w:r>
                    <w:rPr>
                      <w:rFonts w:eastAsia="楷体"/>
                      <w:color w:val="000000" w:themeColor="text1"/>
                      <w:kern w:val="24"/>
                      <w:szCs w:val="21"/>
                    </w:rPr>
                    <w:t>m</w:t>
                  </w:r>
                  <w:r>
                    <w:rPr>
                      <w:rFonts w:eastAsia="楷体"/>
                      <w:color w:val="000000" w:themeColor="text1"/>
                      <w:kern w:val="24"/>
                      <w:szCs w:val="21"/>
                      <w:vertAlign w:val="superscript"/>
                    </w:rPr>
                    <w:t>2</w:t>
                  </w:r>
                  <w:r>
                    <w:rPr>
                      <w:rFonts w:eastAsia="楷体"/>
                      <w:color w:val="000000" w:themeColor="text1"/>
                      <w:kern w:val="24"/>
                      <w:szCs w:val="21"/>
                    </w:rPr>
                    <w:t>带式</w:t>
                  </w:r>
                </w:p>
              </w:tc>
              <w:tc>
                <w:tcPr>
                  <w:tcW w:w="483"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1</w:t>
                  </w:r>
                  <w:r>
                    <w:rPr>
                      <w:rFonts w:eastAsia="楷体"/>
                      <w:color w:val="000000" w:themeColor="text1"/>
                      <w:kern w:val="24"/>
                      <w:szCs w:val="21"/>
                    </w:rPr>
                    <w:t>台</w:t>
                  </w:r>
                </w:p>
              </w:tc>
              <w:tc>
                <w:tcPr>
                  <w:tcW w:w="1128" w:type="pct"/>
                  <w:vMerge/>
                  <w:vAlign w:val="center"/>
                </w:tcPr>
                <w:p w:rsidR="00C72DBD" w:rsidRDefault="00C72DBD">
                  <w:pPr>
                    <w:widowControl/>
                    <w:overflowPunct w:val="0"/>
                    <w:adjustRightInd w:val="0"/>
                    <w:spacing w:line="240" w:lineRule="exact"/>
                    <w:jc w:val="center"/>
                    <w:textAlignment w:val="baseline"/>
                    <w:rPr>
                      <w:rFonts w:eastAsia="楷体"/>
                      <w:color w:val="000000" w:themeColor="text1"/>
                      <w:kern w:val="24"/>
                      <w:szCs w:val="21"/>
                    </w:rPr>
                  </w:pPr>
                </w:p>
              </w:tc>
            </w:tr>
            <w:tr w:rsidR="00C72DBD">
              <w:trPr>
                <w:trHeight w:val="397"/>
                <w:tblHeader/>
                <w:jc w:val="center"/>
              </w:trPr>
              <w:tc>
                <w:tcPr>
                  <w:tcW w:w="645"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球团</w:t>
                  </w:r>
                </w:p>
              </w:tc>
              <w:tc>
                <w:tcPr>
                  <w:tcW w:w="1613"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链箅机</w:t>
                  </w:r>
                  <w:r>
                    <w:rPr>
                      <w:rFonts w:eastAsia="楷体"/>
                      <w:color w:val="000000" w:themeColor="text1"/>
                      <w:kern w:val="24"/>
                      <w:szCs w:val="21"/>
                    </w:rPr>
                    <w:t>-</w:t>
                  </w:r>
                  <w:r>
                    <w:rPr>
                      <w:rFonts w:eastAsia="楷体"/>
                      <w:color w:val="000000" w:themeColor="text1"/>
                      <w:kern w:val="24"/>
                      <w:szCs w:val="21"/>
                    </w:rPr>
                    <w:t>回转窑</w:t>
                  </w:r>
                </w:p>
              </w:tc>
              <w:tc>
                <w:tcPr>
                  <w:tcW w:w="1128"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30</w:t>
                  </w:r>
                  <w:r>
                    <w:rPr>
                      <w:rFonts w:eastAsia="楷体"/>
                      <w:color w:val="000000" w:themeColor="text1"/>
                      <w:kern w:val="24"/>
                      <w:szCs w:val="21"/>
                    </w:rPr>
                    <w:t>万吨</w:t>
                  </w:r>
                </w:p>
              </w:tc>
              <w:tc>
                <w:tcPr>
                  <w:tcW w:w="483"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1</w:t>
                  </w:r>
                  <w:r>
                    <w:rPr>
                      <w:rFonts w:eastAsia="楷体"/>
                      <w:color w:val="000000" w:themeColor="text1"/>
                      <w:kern w:val="24"/>
                      <w:szCs w:val="21"/>
                    </w:rPr>
                    <w:t>座</w:t>
                  </w:r>
                </w:p>
              </w:tc>
              <w:tc>
                <w:tcPr>
                  <w:tcW w:w="1128"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30</w:t>
                  </w:r>
                </w:p>
              </w:tc>
            </w:tr>
            <w:tr w:rsidR="00C72DBD">
              <w:trPr>
                <w:trHeight w:val="397"/>
                <w:tblHeader/>
                <w:jc w:val="center"/>
              </w:trPr>
              <w:tc>
                <w:tcPr>
                  <w:tcW w:w="645" w:type="pct"/>
                  <w:vMerge w:val="restar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炼铁</w:t>
                  </w:r>
                </w:p>
              </w:tc>
              <w:tc>
                <w:tcPr>
                  <w:tcW w:w="1613"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1#</w:t>
                  </w:r>
                  <w:r>
                    <w:rPr>
                      <w:rFonts w:eastAsia="楷体"/>
                      <w:color w:val="000000" w:themeColor="text1"/>
                      <w:kern w:val="24"/>
                      <w:szCs w:val="21"/>
                    </w:rPr>
                    <w:t>高炉</w:t>
                  </w:r>
                </w:p>
              </w:tc>
              <w:tc>
                <w:tcPr>
                  <w:tcW w:w="1128"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1280m</w:t>
                  </w:r>
                  <w:r>
                    <w:rPr>
                      <w:rFonts w:eastAsia="楷体"/>
                      <w:color w:val="000000" w:themeColor="text1"/>
                      <w:kern w:val="24"/>
                      <w:szCs w:val="21"/>
                      <w:vertAlign w:val="superscript"/>
                    </w:rPr>
                    <w:t>3</w:t>
                  </w:r>
                </w:p>
              </w:tc>
              <w:tc>
                <w:tcPr>
                  <w:tcW w:w="483"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1</w:t>
                  </w:r>
                  <w:r>
                    <w:rPr>
                      <w:rFonts w:eastAsia="楷体"/>
                      <w:color w:val="000000" w:themeColor="text1"/>
                      <w:kern w:val="24"/>
                      <w:szCs w:val="21"/>
                    </w:rPr>
                    <w:t>座</w:t>
                  </w:r>
                </w:p>
              </w:tc>
              <w:tc>
                <w:tcPr>
                  <w:tcW w:w="1128" w:type="pct"/>
                  <w:vMerge w:val="restar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204</w:t>
                  </w:r>
                </w:p>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（铸造生铁</w:t>
                  </w:r>
                  <w:r>
                    <w:rPr>
                      <w:rFonts w:eastAsia="楷体"/>
                      <w:color w:val="000000" w:themeColor="text1"/>
                      <w:kern w:val="24"/>
                      <w:szCs w:val="21"/>
                    </w:rPr>
                    <w:t>86</w:t>
                  </w:r>
                  <w:r>
                    <w:rPr>
                      <w:rFonts w:eastAsia="楷体"/>
                      <w:color w:val="000000" w:themeColor="text1"/>
                      <w:kern w:val="24"/>
                      <w:szCs w:val="21"/>
                    </w:rPr>
                    <w:t>）</w:t>
                  </w:r>
                </w:p>
              </w:tc>
            </w:tr>
            <w:tr w:rsidR="00C72DBD">
              <w:trPr>
                <w:trHeight w:val="397"/>
                <w:tblHeader/>
                <w:jc w:val="center"/>
              </w:trPr>
              <w:tc>
                <w:tcPr>
                  <w:tcW w:w="645" w:type="pct"/>
                  <w:vMerge/>
                  <w:vAlign w:val="center"/>
                </w:tcPr>
                <w:p w:rsidR="00C72DBD" w:rsidRDefault="00C72DBD">
                  <w:pPr>
                    <w:widowControl/>
                    <w:overflowPunct w:val="0"/>
                    <w:adjustRightInd w:val="0"/>
                    <w:spacing w:line="240" w:lineRule="exact"/>
                    <w:jc w:val="center"/>
                    <w:textAlignment w:val="baseline"/>
                    <w:rPr>
                      <w:rFonts w:eastAsia="楷体"/>
                      <w:color w:val="000000" w:themeColor="text1"/>
                      <w:kern w:val="24"/>
                      <w:szCs w:val="21"/>
                    </w:rPr>
                  </w:pPr>
                </w:p>
              </w:tc>
              <w:tc>
                <w:tcPr>
                  <w:tcW w:w="1613"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3#</w:t>
                  </w:r>
                  <w:r>
                    <w:rPr>
                      <w:rFonts w:eastAsia="楷体"/>
                      <w:color w:val="000000" w:themeColor="text1"/>
                      <w:kern w:val="24"/>
                      <w:szCs w:val="21"/>
                    </w:rPr>
                    <w:t>高炉（铸造高炉）</w:t>
                  </w:r>
                </w:p>
              </w:tc>
              <w:tc>
                <w:tcPr>
                  <w:tcW w:w="1128"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308m</w:t>
                  </w:r>
                  <w:r>
                    <w:rPr>
                      <w:rFonts w:eastAsia="楷体"/>
                      <w:color w:val="000000" w:themeColor="text1"/>
                      <w:kern w:val="24"/>
                      <w:szCs w:val="21"/>
                      <w:vertAlign w:val="superscript"/>
                    </w:rPr>
                    <w:t>3</w:t>
                  </w:r>
                </w:p>
              </w:tc>
              <w:tc>
                <w:tcPr>
                  <w:tcW w:w="483"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1</w:t>
                  </w:r>
                  <w:r>
                    <w:rPr>
                      <w:rFonts w:eastAsia="楷体"/>
                      <w:color w:val="000000" w:themeColor="text1"/>
                      <w:kern w:val="24"/>
                      <w:szCs w:val="21"/>
                    </w:rPr>
                    <w:t>座</w:t>
                  </w:r>
                </w:p>
              </w:tc>
              <w:tc>
                <w:tcPr>
                  <w:tcW w:w="1128" w:type="pct"/>
                  <w:vMerge/>
                  <w:vAlign w:val="center"/>
                </w:tcPr>
                <w:p w:rsidR="00C72DBD" w:rsidRDefault="00C72DBD">
                  <w:pPr>
                    <w:widowControl/>
                    <w:overflowPunct w:val="0"/>
                    <w:adjustRightInd w:val="0"/>
                    <w:spacing w:line="240" w:lineRule="exact"/>
                    <w:jc w:val="center"/>
                    <w:textAlignment w:val="baseline"/>
                    <w:rPr>
                      <w:rFonts w:eastAsia="楷体"/>
                      <w:color w:val="000000" w:themeColor="text1"/>
                      <w:kern w:val="24"/>
                      <w:szCs w:val="21"/>
                    </w:rPr>
                  </w:pPr>
                </w:p>
              </w:tc>
            </w:tr>
            <w:tr w:rsidR="00C72DBD">
              <w:trPr>
                <w:trHeight w:val="397"/>
                <w:tblHeader/>
                <w:jc w:val="center"/>
              </w:trPr>
              <w:tc>
                <w:tcPr>
                  <w:tcW w:w="645" w:type="pct"/>
                  <w:vMerge/>
                  <w:vAlign w:val="center"/>
                </w:tcPr>
                <w:p w:rsidR="00C72DBD" w:rsidRDefault="00C72DBD">
                  <w:pPr>
                    <w:widowControl/>
                    <w:overflowPunct w:val="0"/>
                    <w:adjustRightInd w:val="0"/>
                    <w:spacing w:line="240" w:lineRule="exact"/>
                    <w:jc w:val="center"/>
                    <w:textAlignment w:val="baseline"/>
                    <w:rPr>
                      <w:rFonts w:eastAsia="楷体"/>
                      <w:color w:val="000000" w:themeColor="text1"/>
                      <w:kern w:val="24"/>
                      <w:szCs w:val="21"/>
                    </w:rPr>
                  </w:pPr>
                </w:p>
              </w:tc>
              <w:tc>
                <w:tcPr>
                  <w:tcW w:w="1613"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5#</w:t>
                  </w:r>
                  <w:r>
                    <w:rPr>
                      <w:rFonts w:eastAsia="楷体"/>
                      <w:color w:val="000000" w:themeColor="text1"/>
                      <w:kern w:val="24"/>
                      <w:szCs w:val="21"/>
                    </w:rPr>
                    <w:t>高炉（铸造高炉）</w:t>
                  </w:r>
                </w:p>
              </w:tc>
              <w:tc>
                <w:tcPr>
                  <w:tcW w:w="1128"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420m</w:t>
                  </w:r>
                  <w:r>
                    <w:rPr>
                      <w:rFonts w:eastAsia="楷体"/>
                      <w:color w:val="000000" w:themeColor="text1"/>
                      <w:kern w:val="24"/>
                      <w:szCs w:val="21"/>
                      <w:vertAlign w:val="superscript"/>
                    </w:rPr>
                    <w:t>3</w:t>
                  </w:r>
                </w:p>
              </w:tc>
              <w:tc>
                <w:tcPr>
                  <w:tcW w:w="483"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1</w:t>
                  </w:r>
                  <w:r>
                    <w:rPr>
                      <w:rFonts w:eastAsia="楷体"/>
                      <w:color w:val="000000" w:themeColor="text1"/>
                      <w:kern w:val="24"/>
                      <w:szCs w:val="21"/>
                    </w:rPr>
                    <w:t>座</w:t>
                  </w:r>
                </w:p>
              </w:tc>
              <w:tc>
                <w:tcPr>
                  <w:tcW w:w="1128" w:type="pct"/>
                  <w:vMerge/>
                  <w:vAlign w:val="center"/>
                </w:tcPr>
                <w:p w:rsidR="00C72DBD" w:rsidRDefault="00C72DBD">
                  <w:pPr>
                    <w:widowControl/>
                    <w:overflowPunct w:val="0"/>
                    <w:adjustRightInd w:val="0"/>
                    <w:spacing w:line="240" w:lineRule="exact"/>
                    <w:jc w:val="center"/>
                    <w:textAlignment w:val="baseline"/>
                    <w:rPr>
                      <w:rFonts w:eastAsia="楷体"/>
                      <w:color w:val="000000" w:themeColor="text1"/>
                      <w:kern w:val="24"/>
                      <w:szCs w:val="21"/>
                    </w:rPr>
                  </w:pPr>
                </w:p>
              </w:tc>
            </w:tr>
            <w:tr w:rsidR="00C72DBD">
              <w:trPr>
                <w:trHeight w:val="397"/>
                <w:tblHeader/>
                <w:jc w:val="center"/>
              </w:trPr>
              <w:tc>
                <w:tcPr>
                  <w:tcW w:w="645" w:type="pct"/>
                  <w:vMerge w:val="restar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hint="eastAsia"/>
                      <w:color w:val="000000" w:themeColor="text1"/>
                      <w:kern w:val="24"/>
                      <w:szCs w:val="21"/>
                    </w:rPr>
                    <w:t>白灰</w:t>
                  </w:r>
                </w:p>
              </w:tc>
              <w:tc>
                <w:tcPr>
                  <w:tcW w:w="1613"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hint="eastAsia"/>
                      <w:color w:val="000000" w:themeColor="text1"/>
                      <w:kern w:val="24"/>
                      <w:szCs w:val="21"/>
                    </w:rPr>
                    <w:t>1#</w:t>
                  </w:r>
                  <w:r>
                    <w:rPr>
                      <w:rFonts w:eastAsia="楷体" w:hint="eastAsia"/>
                      <w:color w:val="000000" w:themeColor="text1"/>
                      <w:kern w:val="24"/>
                      <w:szCs w:val="21"/>
                    </w:rPr>
                    <w:t>白灰窑</w:t>
                  </w:r>
                </w:p>
              </w:tc>
              <w:tc>
                <w:tcPr>
                  <w:tcW w:w="1128"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hint="eastAsia"/>
                      <w:color w:val="000000" w:themeColor="text1"/>
                      <w:kern w:val="24"/>
                      <w:szCs w:val="21"/>
                    </w:rPr>
                    <w:t>20</w:t>
                  </w:r>
                  <w:r>
                    <w:rPr>
                      <w:rFonts w:eastAsia="楷体" w:hint="eastAsia"/>
                      <w:color w:val="000000" w:themeColor="text1"/>
                      <w:kern w:val="24"/>
                      <w:szCs w:val="21"/>
                    </w:rPr>
                    <w:t>万吨</w:t>
                  </w:r>
                </w:p>
              </w:tc>
              <w:tc>
                <w:tcPr>
                  <w:tcW w:w="483"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1</w:t>
                  </w:r>
                  <w:r>
                    <w:rPr>
                      <w:rFonts w:eastAsia="楷体"/>
                      <w:color w:val="000000" w:themeColor="text1"/>
                      <w:kern w:val="24"/>
                      <w:szCs w:val="21"/>
                    </w:rPr>
                    <w:t>座</w:t>
                  </w:r>
                </w:p>
              </w:tc>
              <w:tc>
                <w:tcPr>
                  <w:tcW w:w="1128" w:type="pct"/>
                  <w:vMerge w:val="restar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hint="eastAsia"/>
                      <w:color w:val="000000" w:themeColor="text1"/>
                      <w:kern w:val="24"/>
                      <w:szCs w:val="21"/>
                    </w:rPr>
                    <w:t>36.2</w:t>
                  </w:r>
                </w:p>
              </w:tc>
            </w:tr>
            <w:tr w:rsidR="00C72DBD">
              <w:trPr>
                <w:trHeight w:val="397"/>
                <w:tblHeader/>
                <w:jc w:val="center"/>
              </w:trPr>
              <w:tc>
                <w:tcPr>
                  <w:tcW w:w="645" w:type="pct"/>
                  <w:vMerge/>
                  <w:vAlign w:val="center"/>
                </w:tcPr>
                <w:p w:rsidR="00C72DBD" w:rsidRDefault="00C72DBD">
                  <w:pPr>
                    <w:widowControl/>
                    <w:overflowPunct w:val="0"/>
                    <w:adjustRightInd w:val="0"/>
                    <w:spacing w:line="240" w:lineRule="exact"/>
                    <w:jc w:val="center"/>
                    <w:textAlignment w:val="baseline"/>
                    <w:rPr>
                      <w:rFonts w:eastAsia="楷体"/>
                      <w:color w:val="000000" w:themeColor="text1"/>
                      <w:kern w:val="24"/>
                      <w:szCs w:val="21"/>
                    </w:rPr>
                  </w:pPr>
                </w:p>
              </w:tc>
              <w:tc>
                <w:tcPr>
                  <w:tcW w:w="1613"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hint="eastAsia"/>
                      <w:color w:val="000000" w:themeColor="text1"/>
                      <w:kern w:val="24"/>
                      <w:szCs w:val="21"/>
                    </w:rPr>
                    <w:t>2#</w:t>
                  </w:r>
                  <w:r>
                    <w:rPr>
                      <w:rFonts w:eastAsia="楷体" w:hint="eastAsia"/>
                      <w:color w:val="000000" w:themeColor="text1"/>
                      <w:kern w:val="24"/>
                      <w:szCs w:val="21"/>
                    </w:rPr>
                    <w:t>白灰窑</w:t>
                  </w:r>
                </w:p>
              </w:tc>
              <w:tc>
                <w:tcPr>
                  <w:tcW w:w="1128"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hint="eastAsia"/>
                      <w:color w:val="000000" w:themeColor="text1"/>
                      <w:kern w:val="24"/>
                      <w:szCs w:val="21"/>
                    </w:rPr>
                    <w:t>16.2</w:t>
                  </w:r>
                  <w:r>
                    <w:rPr>
                      <w:rFonts w:eastAsia="楷体" w:hint="eastAsia"/>
                      <w:color w:val="000000" w:themeColor="text1"/>
                      <w:kern w:val="24"/>
                      <w:szCs w:val="21"/>
                    </w:rPr>
                    <w:t>万吨</w:t>
                  </w:r>
                </w:p>
              </w:tc>
              <w:tc>
                <w:tcPr>
                  <w:tcW w:w="483"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1</w:t>
                  </w:r>
                  <w:r>
                    <w:rPr>
                      <w:rFonts w:eastAsia="楷体"/>
                      <w:color w:val="000000" w:themeColor="text1"/>
                      <w:kern w:val="24"/>
                      <w:szCs w:val="21"/>
                    </w:rPr>
                    <w:t>座</w:t>
                  </w:r>
                </w:p>
              </w:tc>
              <w:tc>
                <w:tcPr>
                  <w:tcW w:w="1128" w:type="pct"/>
                  <w:vMerge/>
                  <w:vAlign w:val="center"/>
                </w:tcPr>
                <w:p w:rsidR="00C72DBD" w:rsidRDefault="00C72DBD">
                  <w:pPr>
                    <w:widowControl/>
                    <w:overflowPunct w:val="0"/>
                    <w:adjustRightInd w:val="0"/>
                    <w:spacing w:line="240" w:lineRule="exact"/>
                    <w:jc w:val="center"/>
                    <w:textAlignment w:val="baseline"/>
                    <w:rPr>
                      <w:rFonts w:eastAsia="楷体"/>
                      <w:color w:val="000000" w:themeColor="text1"/>
                      <w:kern w:val="24"/>
                      <w:szCs w:val="21"/>
                    </w:rPr>
                  </w:pPr>
                </w:p>
              </w:tc>
            </w:tr>
            <w:tr w:rsidR="00C72DBD">
              <w:trPr>
                <w:trHeight w:val="397"/>
                <w:tblHeader/>
                <w:jc w:val="center"/>
              </w:trPr>
              <w:tc>
                <w:tcPr>
                  <w:tcW w:w="645" w:type="pct"/>
                  <w:vMerge w:val="restar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炼钢</w:t>
                  </w:r>
                </w:p>
              </w:tc>
              <w:tc>
                <w:tcPr>
                  <w:tcW w:w="1613"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1#</w:t>
                  </w:r>
                  <w:r>
                    <w:rPr>
                      <w:rFonts w:eastAsia="楷体"/>
                      <w:color w:val="000000" w:themeColor="text1"/>
                      <w:kern w:val="24"/>
                      <w:szCs w:val="21"/>
                    </w:rPr>
                    <w:t>转炉</w:t>
                  </w:r>
                </w:p>
              </w:tc>
              <w:tc>
                <w:tcPr>
                  <w:tcW w:w="1128"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80t</w:t>
                  </w:r>
                </w:p>
              </w:tc>
              <w:tc>
                <w:tcPr>
                  <w:tcW w:w="483"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1</w:t>
                  </w:r>
                  <w:r>
                    <w:rPr>
                      <w:rFonts w:eastAsia="楷体"/>
                      <w:color w:val="000000" w:themeColor="text1"/>
                      <w:kern w:val="24"/>
                      <w:szCs w:val="21"/>
                    </w:rPr>
                    <w:t>座</w:t>
                  </w:r>
                </w:p>
              </w:tc>
              <w:tc>
                <w:tcPr>
                  <w:tcW w:w="1128" w:type="pct"/>
                  <w:vMerge w:val="restar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192</w:t>
                  </w:r>
                </w:p>
              </w:tc>
            </w:tr>
            <w:tr w:rsidR="00C72DBD">
              <w:trPr>
                <w:trHeight w:val="397"/>
                <w:tblHeader/>
                <w:jc w:val="center"/>
              </w:trPr>
              <w:tc>
                <w:tcPr>
                  <w:tcW w:w="645" w:type="pct"/>
                  <w:vMerge/>
                  <w:vAlign w:val="center"/>
                </w:tcPr>
                <w:p w:rsidR="00C72DBD" w:rsidRDefault="00C72DBD">
                  <w:pPr>
                    <w:widowControl/>
                    <w:overflowPunct w:val="0"/>
                    <w:adjustRightInd w:val="0"/>
                    <w:spacing w:line="240" w:lineRule="exact"/>
                    <w:jc w:val="center"/>
                    <w:textAlignment w:val="baseline"/>
                    <w:rPr>
                      <w:rFonts w:eastAsia="楷体"/>
                      <w:color w:val="000000" w:themeColor="text1"/>
                      <w:kern w:val="24"/>
                      <w:szCs w:val="21"/>
                    </w:rPr>
                  </w:pPr>
                </w:p>
              </w:tc>
              <w:tc>
                <w:tcPr>
                  <w:tcW w:w="1613"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2#</w:t>
                  </w:r>
                  <w:r>
                    <w:rPr>
                      <w:rFonts w:eastAsia="楷体"/>
                      <w:color w:val="000000" w:themeColor="text1"/>
                      <w:kern w:val="24"/>
                      <w:szCs w:val="21"/>
                    </w:rPr>
                    <w:t>转炉</w:t>
                  </w:r>
                </w:p>
              </w:tc>
              <w:tc>
                <w:tcPr>
                  <w:tcW w:w="1128"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80t</w:t>
                  </w:r>
                </w:p>
              </w:tc>
              <w:tc>
                <w:tcPr>
                  <w:tcW w:w="483"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1</w:t>
                  </w:r>
                  <w:r>
                    <w:rPr>
                      <w:rFonts w:eastAsia="楷体"/>
                      <w:color w:val="000000" w:themeColor="text1"/>
                      <w:kern w:val="24"/>
                      <w:szCs w:val="21"/>
                    </w:rPr>
                    <w:t>座</w:t>
                  </w:r>
                </w:p>
              </w:tc>
              <w:tc>
                <w:tcPr>
                  <w:tcW w:w="1128" w:type="pct"/>
                  <w:vMerge/>
                  <w:vAlign w:val="center"/>
                </w:tcPr>
                <w:p w:rsidR="00C72DBD" w:rsidRDefault="00C72DBD">
                  <w:pPr>
                    <w:widowControl/>
                    <w:overflowPunct w:val="0"/>
                    <w:adjustRightInd w:val="0"/>
                    <w:spacing w:line="240" w:lineRule="exact"/>
                    <w:jc w:val="center"/>
                    <w:textAlignment w:val="baseline"/>
                    <w:rPr>
                      <w:rFonts w:eastAsia="楷体"/>
                      <w:color w:val="000000" w:themeColor="text1"/>
                      <w:kern w:val="24"/>
                      <w:szCs w:val="21"/>
                    </w:rPr>
                  </w:pPr>
                </w:p>
              </w:tc>
            </w:tr>
            <w:tr w:rsidR="00C72DBD">
              <w:trPr>
                <w:trHeight w:val="397"/>
                <w:tblHeader/>
                <w:jc w:val="center"/>
              </w:trPr>
              <w:tc>
                <w:tcPr>
                  <w:tcW w:w="645" w:type="pct"/>
                  <w:vMerge w:val="restar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轧钢</w:t>
                  </w:r>
                </w:p>
              </w:tc>
              <w:tc>
                <w:tcPr>
                  <w:tcW w:w="1613"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一轧车间</w:t>
                  </w:r>
                </w:p>
              </w:tc>
              <w:tc>
                <w:tcPr>
                  <w:tcW w:w="1128"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棒材</w:t>
                  </w:r>
                </w:p>
              </w:tc>
              <w:tc>
                <w:tcPr>
                  <w:tcW w:w="483"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1</w:t>
                  </w:r>
                  <w:r>
                    <w:rPr>
                      <w:rFonts w:eastAsia="楷体"/>
                      <w:color w:val="000000" w:themeColor="text1"/>
                      <w:kern w:val="24"/>
                      <w:szCs w:val="21"/>
                    </w:rPr>
                    <w:t>条</w:t>
                  </w:r>
                </w:p>
              </w:tc>
              <w:tc>
                <w:tcPr>
                  <w:tcW w:w="1128" w:type="pct"/>
                  <w:vMerge w:val="restar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hint="eastAsia"/>
                      <w:color w:val="000000" w:themeColor="text1"/>
                      <w:kern w:val="24"/>
                      <w:szCs w:val="21"/>
                    </w:rPr>
                    <w:t>192</w:t>
                  </w:r>
                </w:p>
              </w:tc>
            </w:tr>
            <w:tr w:rsidR="00C72DBD">
              <w:trPr>
                <w:trHeight w:val="397"/>
                <w:tblHeader/>
                <w:jc w:val="center"/>
              </w:trPr>
              <w:tc>
                <w:tcPr>
                  <w:tcW w:w="645" w:type="pct"/>
                  <w:vMerge/>
                  <w:vAlign w:val="center"/>
                </w:tcPr>
                <w:p w:rsidR="00C72DBD" w:rsidRDefault="00C72DBD">
                  <w:pPr>
                    <w:widowControl/>
                    <w:overflowPunct w:val="0"/>
                    <w:adjustRightInd w:val="0"/>
                    <w:spacing w:line="240" w:lineRule="exact"/>
                    <w:jc w:val="center"/>
                    <w:textAlignment w:val="baseline"/>
                    <w:rPr>
                      <w:rFonts w:eastAsia="楷体"/>
                      <w:color w:val="000000" w:themeColor="text1"/>
                      <w:kern w:val="24"/>
                      <w:szCs w:val="21"/>
                    </w:rPr>
                  </w:pPr>
                </w:p>
              </w:tc>
              <w:tc>
                <w:tcPr>
                  <w:tcW w:w="1613"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二轧车间</w:t>
                  </w:r>
                </w:p>
              </w:tc>
              <w:tc>
                <w:tcPr>
                  <w:tcW w:w="1128"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棒材</w:t>
                  </w:r>
                </w:p>
              </w:tc>
              <w:tc>
                <w:tcPr>
                  <w:tcW w:w="483"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1</w:t>
                  </w:r>
                  <w:r>
                    <w:rPr>
                      <w:rFonts w:eastAsia="楷体"/>
                      <w:color w:val="000000" w:themeColor="text1"/>
                      <w:kern w:val="24"/>
                      <w:szCs w:val="21"/>
                    </w:rPr>
                    <w:t>条</w:t>
                  </w:r>
                </w:p>
              </w:tc>
              <w:tc>
                <w:tcPr>
                  <w:tcW w:w="1128" w:type="pct"/>
                  <w:vMerge/>
                  <w:vAlign w:val="center"/>
                </w:tcPr>
                <w:p w:rsidR="00C72DBD" w:rsidRDefault="00C72DBD">
                  <w:pPr>
                    <w:widowControl/>
                    <w:overflowPunct w:val="0"/>
                    <w:adjustRightInd w:val="0"/>
                    <w:spacing w:line="240" w:lineRule="exact"/>
                    <w:jc w:val="center"/>
                    <w:textAlignment w:val="baseline"/>
                    <w:rPr>
                      <w:rFonts w:eastAsia="楷体"/>
                      <w:color w:val="000000" w:themeColor="text1"/>
                      <w:kern w:val="24"/>
                      <w:szCs w:val="21"/>
                    </w:rPr>
                  </w:pPr>
                </w:p>
              </w:tc>
            </w:tr>
            <w:tr w:rsidR="00C72DBD">
              <w:trPr>
                <w:trHeight w:val="397"/>
                <w:tblHeader/>
                <w:jc w:val="center"/>
              </w:trPr>
              <w:tc>
                <w:tcPr>
                  <w:tcW w:w="645" w:type="pct"/>
                  <w:vMerge/>
                  <w:vAlign w:val="center"/>
                </w:tcPr>
                <w:p w:rsidR="00C72DBD" w:rsidRDefault="00C72DBD">
                  <w:pPr>
                    <w:widowControl/>
                    <w:overflowPunct w:val="0"/>
                    <w:adjustRightInd w:val="0"/>
                    <w:spacing w:line="240" w:lineRule="exact"/>
                    <w:jc w:val="center"/>
                    <w:textAlignment w:val="baseline"/>
                    <w:rPr>
                      <w:rFonts w:eastAsia="楷体"/>
                      <w:color w:val="000000" w:themeColor="text1"/>
                      <w:kern w:val="24"/>
                      <w:szCs w:val="21"/>
                    </w:rPr>
                  </w:pPr>
                </w:p>
              </w:tc>
              <w:tc>
                <w:tcPr>
                  <w:tcW w:w="1613"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三轧车间</w:t>
                  </w:r>
                </w:p>
              </w:tc>
              <w:tc>
                <w:tcPr>
                  <w:tcW w:w="1128"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线材</w:t>
                  </w:r>
                </w:p>
              </w:tc>
              <w:tc>
                <w:tcPr>
                  <w:tcW w:w="483"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1</w:t>
                  </w:r>
                  <w:r>
                    <w:rPr>
                      <w:rFonts w:eastAsia="楷体"/>
                      <w:color w:val="000000" w:themeColor="text1"/>
                      <w:kern w:val="24"/>
                      <w:szCs w:val="21"/>
                    </w:rPr>
                    <w:t>条</w:t>
                  </w:r>
                </w:p>
              </w:tc>
              <w:tc>
                <w:tcPr>
                  <w:tcW w:w="1128" w:type="pct"/>
                  <w:vMerge/>
                  <w:vAlign w:val="center"/>
                </w:tcPr>
                <w:p w:rsidR="00C72DBD" w:rsidRDefault="00C72DBD">
                  <w:pPr>
                    <w:widowControl/>
                    <w:overflowPunct w:val="0"/>
                    <w:adjustRightInd w:val="0"/>
                    <w:spacing w:line="240" w:lineRule="exact"/>
                    <w:jc w:val="center"/>
                    <w:textAlignment w:val="baseline"/>
                    <w:rPr>
                      <w:rFonts w:eastAsia="楷体"/>
                      <w:color w:val="000000" w:themeColor="text1"/>
                      <w:kern w:val="24"/>
                      <w:szCs w:val="21"/>
                    </w:rPr>
                  </w:pPr>
                </w:p>
              </w:tc>
            </w:tr>
            <w:tr w:rsidR="00C72DBD">
              <w:trPr>
                <w:trHeight w:val="425"/>
                <w:tblHeader/>
                <w:jc w:val="center"/>
              </w:trPr>
              <w:tc>
                <w:tcPr>
                  <w:tcW w:w="645"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b/>
                      <w:bCs/>
                      <w:color w:val="000000" w:themeColor="text1"/>
                      <w:kern w:val="24"/>
                      <w:szCs w:val="21"/>
                    </w:rPr>
                    <w:t>工</w:t>
                  </w:r>
                  <w:r>
                    <w:rPr>
                      <w:rFonts w:eastAsia="楷体"/>
                      <w:b/>
                      <w:bCs/>
                      <w:color w:val="000000" w:themeColor="text1"/>
                      <w:kern w:val="24"/>
                      <w:szCs w:val="21"/>
                    </w:rPr>
                    <w:t xml:space="preserve">    </w:t>
                  </w:r>
                  <w:r>
                    <w:rPr>
                      <w:rFonts w:eastAsia="楷体"/>
                      <w:b/>
                      <w:bCs/>
                      <w:color w:val="000000" w:themeColor="text1"/>
                      <w:kern w:val="24"/>
                      <w:szCs w:val="21"/>
                    </w:rPr>
                    <w:t>序</w:t>
                  </w:r>
                </w:p>
              </w:tc>
              <w:tc>
                <w:tcPr>
                  <w:tcW w:w="1613" w:type="pct"/>
                  <w:vAlign w:val="center"/>
                </w:tcPr>
                <w:p w:rsidR="00C72DBD" w:rsidRDefault="00FC0A09">
                  <w:pPr>
                    <w:spacing w:line="240" w:lineRule="exact"/>
                    <w:jc w:val="center"/>
                    <w:textAlignment w:val="center"/>
                    <w:rPr>
                      <w:rFonts w:eastAsia="楷体"/>
                      <w:color w:val="000000" w:themeColor="text1"/>
                      <w:kern w:val="24"/>
                      <w:szCs w:val="21"/>
                    </w:rPr>
                  </w:pPr>
                  <w:r>
                    <w:rPr>
                      <w:rFonts w:eastAsia="楷体"/>
                      <w:b/>
                      <w:color w:val="000000" w:themeColor="text1"/>
                      <w:szCs w:val="21"/>
                    </w:rPr>
                    <w:t>装备名称</w:t>
                  </w:r>
                </w:p>
              </w:tc>
              <w:tc>
                <w:tcPr>
                  <w:tcW w:w="1128" w:type="pct"/>
                  <w:vAlign w:val="center"/>
                </w:tcPr>
                <w:p w:rsidR="00C72DBD" w:rsidRDefault="00FC0A09">
                  <w:pPr>
                    <w:spacing w:line="240" w:lineRule="exact"/>
                    <w:jc w:val="center"/>
                    <w:textAlignment w:val="center"/>
                    <w:rPr>
                      <w:rFonts w:eastAsia="楷体"/>
                      <w:color w:val="000000" w:themeColor="text1"/>
                      <w:kern w:val="24"/>
                      <w:szCs w:val="21"/>
                    </w:rPr>
                  </w:pPr>
                  <w:r>
                    <w:rPr>
                      <w:rFonts w:eastAsia="楷体"/>
                      <w:b/>
                      <w:color w:val="000000" w:themeColor="text1"/>
                      <w:szCs w:val="21"/>
                    </w:rPr>
                    <w:t>规格型号</w:t>
                  </w:r>
                </w:p>
              </w:tc>
              <w:tc>
                <w:tcPr>
                  <w:tcW w:w="483" w:type="pct"/>
                  <w:vAlign w:val="center"/>
                </w:tcPr>
                <w:p w:rsidR="00C72DBD" w:rsidRDefault="00FC0A09">
                  <w:pPr>
                    <w:spacing w:line="240" w:lineRule="exact"/>
                    <w:jc w:val="center"/>
                    <w:textAlignment w:val="center"/>
                    <w:rPr>
                      <w:rFonts w:eastAsia="楷体"/>
                      <w:color w:val="000000" w:themeColor="text1"/>
                      <w:kern w:val="24"/>
                      <w:szCs w:val="21"/>
                    </w:rPr>
                  </w:pPr>
                  <w:r>
                    <w:rPr>
                      <w:rFonts w:eastAsia="楷体"/>
                      <w:b/>
                      <w:color w:val="000000" w:themeColor="text1"/>
                      <w:szCs w:val="21"/>
                    </w:rPr>
                    <w:t>数量</w:t>
                  </w:r>
                </w:p>
              </w:tc>
              <w:tc>
                <w:tcPr>
                  <w:tcW w:w="1128" w:type="pct"/>
                  <w:vAlign w:val="center"/>
                </w:tcPr>
                <w:p w:rsidR="00C72DBD" w:rsidRDefault="00FC0A09">
                  <w:pPr>
                    <w:spacing w:line="240" w:lineRule="exact"/>
                    <w:jc w:val="center"/>
                    <w:rPr>
                      <w:rFonts w:eastAsia="楷体"/>
                      <w:color w:val="000000" w:themeColor="text1"/>
                      <w:kern w:val="24"/>
                      <w:szCs w:val="21"/>
                    </w:rPr>
                  </w:pPr>
                  <w:r>
                    <w:rPr>
                      <w:rFonts w:eastAsia="楷体"/>
                      <w:b/>
                      <w:color w:val="000000" w:themeColor="text1"/>
                      <w:szCs w:val="21"/>
                    </w:rPr>
                    <w:t>生产能力（</w:t>
                  </w:r>
                  <w:r>
                    <w:rPr>
                      <w:rFonts w:eastAsia="楷体"/>
                      <w:b/>
                      <w:color w:val="000000" w:themeColor="text1"/>
                      <w:szCs w:val="21"/>
                    </w:rPr>
                    <w:t>10</w:t>
                  </w:r>
                  <w:r>
                    <w:rPr>
                      <w:rFonts w:eastAsia="楷体"/>
                      <w:b/>
                      <w:color w:val="000000" w:themeColor="text1"/>
                      <w:szCs w:val="21"/>
                      <w:vertAlign w:val="superscript"/>
                    </w:rPr>
                    <w:t>4</w:t>
                  </w:r>
                  <w:r>
                    <w:rPr>
                      <w:rFonts w:eastAsia="楷体"/>
                      <w:b/>
                      <w:color w:val="000000" w:themeColor="text1"/>
                      <w:szCs w:val="21"/>
                    </w:rPr>
                    <w:t>t</w:t>
                  </w:r>
                  <w:r>
                    <w:rPr>
                      <w:rFonts w:eastAsia="楷体"/>
                      <w:b/>
                      <w:color w:val="000000" w:themeColor="text1"/>
                      <w:szCs w:val="21"/>
                    </w:rPr>
                    <w:t>）</w:t>
                  </w:r>
                </w:p>
              </w:tc>
            </w:tr>
            <w:tr w:rsidR="00C72DBD">
              <w:trPr>
                <w:trHeight w:val="425"/>
                <w:tblHeader/>
                <w:jc w:val="center"/>
              </w:trPr>
              <w:tc>
                <w:tcPr>
                  <w:tcW w:w="645"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铸管</w:t>
                  </w:r>
                </w:p>
              </w:tc>
              <w:tc>
                <w:tcPr>
                  <w:tcW w:w="1613"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DN80-DN2600</w:t>
                  </w:r>
                </w:p>
              </w:tc>
              <w:tc>
                <w:tcPr>
                  <w:tcW w:w="1128"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铸管</w:t>
                  </w:r>
                </w:p>
              </w:tc>
              <w:tc>
                <w:tcPr>
                  <w:tcW w:w="483"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w:t>
                  </w:r>
                </w:p>
              </w:tc>
              <w:tc>
                <w:tcPr>
                  <w:tcW w:w="1128"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80</w:t>
                  </w:r>
                </w:p>
              </w:tc>
            </w:tr>
            <w:tr w:rsidR="00C72DBD">
              <w:trPr>
                <w:trHeight w:val="425"/>
                <w:tblHeader/>
                <w:jc w:val="center"/>
              </w:trPr>
              <w:tc>
                <w:tcPr>
                  <w:tcW w:w="645" w:type="pct"/>
                  <w:vMerge w:val="restar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hint="eastAsia"/>
                      <w:color w:val="000000" w:themeColor="text1"/>
                      <w:kern w:val="24"/>
                      <w:szCs w:val="21"/>
                    </w:rPr>
                    <w:t>发电</w:t>
                  </w:r>
                </w:p>
              </w:tc>
              <w:tc>
                <w:tcPr>
                  <w:tcW w:w="1613"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hint="eastAsia"/>
                      <w:color w:val="000000" w:themeColor="text1"/>
                      <w:kern w:val="24"/>
                      <w:szCs w:val="21"/>
                    </w:rPr>
                    <w:t>3#</w:t>
                  </w:r>
                  <w:r>
                    <w:rPr>
                      <w:rFonts w:eastAsia="楷体" w:hint="eastAsia"/>
                      <w:color w:val="000000" w:themeColor="text1"/>
                      <w:kern w:val="24"/>
                      <w:szCs w:val="21"/>
                    </w:rPr>
                    <w:t>机组</w:t>
                  </w:r>
                </w:p>
              </w:tc>
              <w:tc>
                <w:tcPr>
                  <w:tcW w:w="1128"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hint="eastAsia"/>
                      <w:color w:val="000000" w:themeColor="text1"/>
                      <w:kern w:val="24"/>
                      <w:szCs w:val="21"/>
                    </w:rPr>
                    <w:t>燃气机组</w:t>
                  </w:r>
                </w:p>
              </w:tc>
              <w:tc>
                <w:tcPr>
                  <w:tcW w:w="483"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1</w:t>
                  </w:r>
                  <w:r>
                    <w:rPr>
                      <w:rFonts w:eastAsia="楷体"/>
                      <w:color w:val="000000" w:themeColor="text1"/>
                      <w:kern w:val="24"/>
                      <w:szCs w:val="21"/>
                    </w:rPr>
                    <w:t>台</w:t>
                  </w:r>
                </w:p>
              </w:tc>
              <w:tc>
                <w:tcPr>
                  <w:tcW w:w="1128"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25</w:t>
                  </w:r>
                  <w:r>
                    <w:rPr>
                      <w:rFonts w:eastAsia="楷体" w:hint="eastAsia"/>
                      <w:color w:val="000000" w:themeColor="text1"/>
                      <w:kern w:val="24"/>
                      <w:szCs w:val="21"/>
                    </w:rPr>
                    <w:t>MW</w:t>
                  </w:r>
                </w:p>
              </w:tc>
            </w:tr>
            <w:tr w:rsidR="00C72DBD">
              <w:trPr>
                <w:trHeight w:val="425"/>
                <w:tblHeader/>
                <w:jc w:val="center"/>
              </w:trPr>
              <w:tc>
                <w:tcPr>
                  <w:tcW w:w="645" w:type="pct"/>
                  <w:vMerge/>
                  <w:vAlign w:val="center"/>
                </w:tcPr>
                <w:p w:rsidR="00C72DBD" w:rsidRDefault="00C72DBD">
                  <w:pPr>
                    <w:widowControl/>
                    <w:overflowPunct w:val="0"/>
                    <w:adjustRightInd w:val="0"/>
                    <w:spacing w:line="240" w:lineRule="exact"/>
                    <w:jc w:val="center"/>
                    <w:textAlignment w:val="baseline"/>
                    <w:rPr>
                      <w:rFonts w:eastAsia="楷体"/>
                      <w:color w:val="000000" w:themeColor="text1"/>
                      <w:kern w:val="24"/>
                      <w:szCs w:val="21"/>
                    </w:rPr>
                  </w:pPr>
                </w:p>
              </w:tc>
              <w:tc>
                <w:tcPr>
                  <w:tcW w:w="1613"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hint="eastAsia"/>
                      <w:color w:val="000000" w:themeColor="text1"/>
                      <w:kern w:val="24"/>
                      <w:szCs w:val="21"/>
                    </w:rPr>
                    <w:t>4#</w:t>
                  </w:r>
                  <w:r>
                    <w:rPr>
                      <w:rFonts w:eastAsia="楷体" w:hint="eastAsia"/>
                      <w:color w:val="000000" w:themeColor="text1"/>
                      <w:kern w:val="24"/>
                      <w:szCs w:val="21"/>
                    </w:rPr>
                    <w:t>机组</w:t>
                  </w:r>
                </w:p>
              </w:tc>
              <w:tc>
                <w:tcPr>
                  <w:tcW w:w="1128"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hint="eastAsia"/>
                      <w:color w:val="000000" w:themeColor="text1"/>
                      <w:kern w:val="24"/>
                      <w:szCs w:val="21"/>
                    </w:rPr>
                    <w:t>燃气机组</w:t>
                  </w:r>
                </w:p>
              </w:tc>
              <w:tc>
                <w:tcPr>
                  <w:tcW w:w="483"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1</w:t>
                  </w:r>
                  <w:r>
                    <w:rPr>
                      <w:rFonts w:eastAsia="楷体"/>
                      <w:color w:val="000000" w:themeColor="text1"/>
                      <w:kern w:val="24"/>
                      <w:szCs w:val="21"/>
                    </w:rPr>
                    <w:t>台</w:t>
                  </w:r>
                </w:p>
              </w:tc>
              <w:tc>
                <w:tcPr>
                  <w:tcW w:w="1128"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30</w:t>
                  </w:r>
                  <w:r>
                    <w:rPr>
                      <w:rFonts w:eastAsia="楷体" w:hint="eastAsia"/>
                      <w:color w:val="000000" w:themeColor="text1"/>
                      <w:kern w:val="24"/>
                      <w:szCs w:val="21"/>
                    </w:rPr>
                    <w:t>MW</w:t>
                  </w:r>
                </w:p>
              </w:tc>
            </w:tr>
            <w:tr w:rsidR="00C72DBD">
              <w:trPr>
                <w:trHeight w:val="425"/>
                <w:tblHeader/>
                <w:jc w:val="center"/>
              </w:trPr>
              <w:tc>
                <w:tcPr>
                  <w:tcW w:w="645" w:type="pct"/>
                  <w:vMerge/>
                  <w:vAlign w:val="center"/>
                </w:tcPr>
                <w:p w:rsidR="00C72DBD" w:rsidRDefault="00C72DBD">
                  <w:pPr>
                    <w:widowControl/>
                    <w:overflowPunct w:val="0"/>
                    <w:adjustRightInd w:val="0"/>
                    <w:spacing w:line="240" w:lineRule="exact"/>
                    <w:jc w:val="center"/>
                    <w:textAlignment w:val="baseline"/>
                    <w:rPr>
                      <w:rFonts w:eastAsia="楷体"/>
                      <w:color w:val="000000" w:themeColor="text1"/>
                      <w:kern w:val="24"/>
                      <w:szCs w:val="21"/>
                    </w:rPr>
                  </w:pPr>
                </w:p>
              </w:tc>
              <w:tc>
                <w:tcPr>
                  <w:tcW w:w="1613"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hint="eastAsia"/>
                      <w:color w:val="000000" w:themeColor="text1"/>
                      <w:kern w:val="24"/>
                      <w:szCs w:val="21"/>
                    </w:rPr>
                    <w:t>5#</w:t>
                  </w:r>
                  <w:r>
                    <w:rPr>
                      <w:rFonts w:eastAsia="楷体" w:hint="eastAsia"/>
                      <w:color w:val="000000" w:themeColor="text1"/>
                      <w:kern w:val="24"/>
                      <w:szCs w:val="21"/>
                    </w:rPr>
                    <w:t>机组</w:t>
                  </w:r>
                </w:p>
              </w:tc>
              <w:tc>
                <w:tcPr>
                  <w:tcW w:w="1128"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hint="eastAsia"/>
                      <w:color w:val="000000" w:themeColor="text1"/>
                      <w:kern w:val="24"/>
                      <w:szCs w:val="21"/>
                    </w:rPr>
                    <w:t>燃气机组</w:t>
                  </w:r>
                </w:p>
              </w:tc>
              <w:tc>
                <w:tcPr>
                  <w:tcW w:w="483"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1</w:t>
                  </w:r>
                  <w:r>
                    <w:rPr>
                      <w:rFonts w:eastAsia="楷体"/>
                      <w:color w:val="000000" w:themeColor="text1"/>
                      <w:kern w:val="24"/>
                      <w:szCs w:val="21"/>
                    </w:rPr>
                    <w:t>台</w:t>
                  </w:r>
                </w:p>
              </w:tc>
              <w:tc>
                <w:tcPr>
                  <w:tcW w:w="1128"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40</w:t>
                  </w:r>
                  <w:r>
                    <w:rPr>
                      <w:rFonts w:eastAsia="楷体" w:hint="eastAsia"/>
                      <w:color w:val="000000" w:themeColor="text1"/>
                      <w:kern w:val="24"/>
                      <w:szCs w:val="21"/>
                    </w:rPr>
                    <w:t>MW</w:t>
                  </w:r>
                </w:p>
              </w:tc>
            </w:tr>
            <w:tr w:rsidR="00C72DBD">
              <w:trPr>
                <w:trHeight w:val="425"/>
                <w:tblHeader/>
                <w:jc w:val="center"/>
              </w:trPr>
              <w:tc>
                <w:tcPr>
                  <w:tcW w:w="645" w:type="pct"/>
                  <w:vMerge/>
                  <w:vAlign w:val="center"/>
                </w:tcPr>
                <w:p w:rsidR="00C72DBD" w:rsidRDefault="00C72DBD">
                  <w:pPr>
                    <w:widowControl/>
                    <w:overflowPunct w:val="0"/>
                    <w:adjustRightInd w:val="0"/>
                    <w:spacing w:line="240" w:lineRule="exact"/>
                    <w:jc w:val="center"/>
                    <w:textAlignment w:val="baseline"/>
                    <w:rPr>
                      <w:rFonts w:eastAsia="楷体"/>
                      <w:color w:val="000000" w:themeColor="text1"/>
                      <w:kern w:val="24"/>
                      <w:szCs w:val="21"/>
                    </w:rPr>
                  </w:pPr>
                </w:p>
              </w:tc>
              <w:tc>
                <w:tcPr>
                  <w:tcW w:w="1613"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hint="eastAsia"/>
                      <w:color w:val="000000" w:themeColor="text1"/>
                      <w:kern w:val="24"/>
                      <w:szCs w:val="21"/>
                    </w:rPr>
                    <w:t>6#</w:t>
                  </w:r>
                  <w:r>
                    <w:rPr>
                      <w:rFonts w:eastAsia="楷体" w:hint="eastAsia"/>
                      <w:color w:val="000000" w:themeColor="text1"/>
                      <w:kern w:val="24"/>
                      <w:szCs w:val="21"/>
                    </w:rPr>
                    <w:t>机组</w:t>
                  </w:r>
                </w:p>
              </w:tc>
              <w:tc>
                <w:tcPr>
                  <w:tcW w:w="1128"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hint="eastAsia"/>
                      <w:color w:val="000000" w:themeColor="text1"/>
                      <w:kern w:val="24"/>
                      <w:szCs w:val="21"/>
                    </w:rPr>
                    <w:t>燃气机组</w:t>
                  </w:r>
                </w:p>
              </w:tc>
              <w:tc>
                <w:tcPr>
                  <w:tcW w:w="483"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color w:val="000000" w:themeColor="text1"/>
                      <w:kern w:val="24"/>
                      <w:szCs w:val="21"/>
                    </w:rPr>
                    <w:t>1</w:t>
                  </w:r>
                  <w:r>
                    <w:rPr>
                      <w:rFonts w:eastAsia="楷体"/>
                      <w:color w:val="000000" w:themeColor="text1"/>
                      <w:kern w:val="24"/>
                      <w:szCs w:val="21"/>
                    </w:rPr>
                    <w:t>台</w:t>
                  </w:r>
                </w:p>
              </w:tc>
              <w:tc>
                <w:tcPr>
                  <w:tcW w:w="1128" w:type="pct"/>
                  <w:vAlign w:val="center"/>
                </w:tcPr>
                <w:p w:rsidR="00C72DBD" w:rsidRDefault="00FC0A09">
                  <w:pPr>
                    <w:widowControl/>
                    <w:overflowPunct w:val="0"/>
                    <w:adjustRightInd w:val="0"/>
                    <w:spacing w:line="240" w:lineRule="exact"/>
                    <w:jc w:val="center"/>
                    <w:textAlignment w:val="baseline"/>
                    <w:rPr>
                      <w:rFonts w:eastAsia="楷体"/>
                      <w:color w:val="000000" w:themeColor="text1"/>
                      <w:kern w:val="24"/>
                      <w:szCs w:val="21"/>
                    </w:rPr>
                  </w:pPr>
                  <w:r>
                    <w:rPr>
                      <w:rFonts w:eastAsia="楷体" w:hint="eastAsia"/>
                      <w:color w:val="000000" w:themeColor="text1"/>
                      <w:kern w:val="24"/>
                      <w:szCs w:val="21"/>
                    </w:rPr>
                    <w:t>65MW</w:t>
                  </w:r>
                </w:p>
              </w:tc>
            </w:tr>
          </w:tbl>
          <w:p w:rsidR="00C72DBD" w:rsidRDefault="00FC0A09">
            <w:pPr>
              <w:spacing w:line="360" w:lineRule="auto"/>
              <w:rPr>
                <w:rFonts w:ascii="仿宋_GB2312" w:eastAsia="仿宋_GB2312" w:hAnsi="宋体" w:cs="黑体"/>
                <w:sz w:val="24"/>
              </w:rPr>
            </w:pPr>
            <w:r>
              <w:rPr>
                <w:rFonts w:ascii="仿宋_GB2312" w:eastAsia="仿宋_GB2312" w:hAnsi="宋体" w:cs="黑体"/>
                <w:sz w:val="24"/>
              </w:rPr>
              <w:t>3</w:t>
            </w:r>
            <w:r>
              <w:rPr>
                <w:rFonts w:ascii="仿宋_GB2312" w:eastAsia="仿宋_GB2312" w:hAnsi="宋体" w:cs="黑体" w:hint="eastAsia"/>
                <w:sz w:val="24"/>
              </w:rPr>
              <w:t>、主要产品品种、产量、产值情况</w:t>
            </w:r>
          </w:p>
          <w:p w:rsidR="00C72DBD" w:rsidRDefault="00FC0A09">
            <w:pPr>
              <w:spacing w:line="360" w:lineRule="auto"/>
              <w:ind w:firstLineChars="200" w:firstLine="480"/>
              <w:rPr>
                <w:rFonts w:eastAsia="仿宋_GB2312"/>
                <w:sz w:val="24"/>
              </w:rPr>
            </w:pPr>
            <w:r>
              <w:rPr>
                <w:rFonts w:eastAsia="仿宋_GB2312"/>
                <w:sz w:val="24"/>
              </w:rPr>
              <w:t>新兴铸管主要产品品种为离心球墨铸铁管、棒材、线材（盘条）及钢筋等，其中球墨铸铁管是主导产品，主要包括</w:t>
            </w:r>
            <w:r>
              <w:rPr>
                <w:rFonts w:eastAsia="仿宋_GB2312"/>
                <w:sz w:val="24"/>
              </w:rPr>
              <w:t>T</w:t>
            </w:r>
            <w:r>
              <w:rPr>
                <w:rFonts w:eastAsia="仿宋_GB2312"/>
                <w:sz w:val="24"/>
              </w:rPr>
              <w:t>型、</w:t>
            </w:r>
            <w:r>
              <w:rPr>
                <w:rFonts w:eastAsia="仿宋_GB2312"/>
                <w:sz w:val="24"/>
              </w:rPr>
              <w:t>K</w:t>
            </w:r>
            <w:r>
              <w:rPr>
                <w:rFonts w:eastAsia="仿宋_GB2312"/>
                <w:sz w:val="24"/>
              </w:rPr>
              <w:t>型、</w:t>
            </w:r>
            <w:r>
              <w:rPr>
                <w:rFonts w:eastAsia="仿宋_GB2312"/>
                <w:sz w:val="24"/>
              </w:rPr>
              <w:t>S</w:t>
            </w:r>
            <w:r>
              <w:rPr>
                <w:rFonts w:eastAsia="仿宋_GB2312"/>
                <w:sz w:val="24"/>
              </w:rPr>
              <w:t>型、</w:t>
            </w:r>
            <w:r>
              <w:rPr>
                <w:rFonts w:eastAsia="仿宋_GB2312"/>
                <w:sz w:val="24"/>
              </w:rPr>
              <w:t>N1</w:t>
            </w:r>
            <w:r>
              <w:rPr>
                <w:rFonts w:eastAsia="仿宋_GB2312"/>
                <w:sz w:val="24"/>
              </w:rPr>
              <w:t>型和自锚式等多种接口形式的球墨铸铁管。</w:t>
            </w:r>
            <w:r>
              <w:rPr>
                <w:rFonts w:eastAsia="仿宋_GB2312"/>
                <w:sz w:val="24"/>
              </w:rPr>
              <w:t>2023</w:t>
            </w:r>
            <w:r>
              <w:rPr>
                <w:rFonts w:eastAsia="仿宋_GB2312"/>
                <w:sz w:val="24"/>
              </w:rPr>
              <w:t>年，新兴铸管生铁产量</w:t>
            </w:r>
            <w:r>
              <w:rPr>
                <w:rFonts w:eastAsia="仿宋_GB2312"/>
                <w:sz w:val="24"/>
              </w:rPr>
              <w:t>147.22</w:t>
            </w:r>
            <w:r>
              <w:rPr>
                <w:rFonts w:eastAsia="仿宋_GB2312"/>
                <w:sz w:val="24"/>
              </w:rPr>
              <w:t>万吨、粗钢产量</w:t>
            </w:r>
            <w:r>
              <w:rPr>
                <w:rFonts w:eastAsia="仿宋_GB2312"/>
                <w:sz w:val="24"/>
              </w:rPr>
              <w:t>150.38</w:t>
            </w:r>
            <w:r>
              <w:rPr>
                <w:rFonts w:eastAsia="仿宋_GB2312"/>
                <w:sz w:val="24"/>
              </w:rPr>
              <w:t>万吨、球磨铸管产量</w:t>
            </w:r>
            <w:r>
              <w:rPr>
                <w:rFonts w:eastAsia="仿宋_GB2312"/>
                <w:sz w:val="24"/>
              </w:rPr>
              <w:t>33.64</w:t>
            </w:r>
            <w:r>
              <w:rPr>
                <w:rFonts w:eastAsia="仿宋_GB2312"/>
                <w:sz w:val="24"/>
              </w:rPr>
              <w:t>万吨，实现工业总产值（当年价格）</w:t>
            </w:r>
            <w:r>
              <w:rPr>
                <w:rFonts w:eastAsia="仿宋_GB2312"/>
                <w:sz w:val="24"/>
              </w:rPr>
              <w:t>92.54</w:t>
            </w:r>
            <w:r>
              <w:rPr>
                <w:rFonts w:eastAsia="仿宋_GB2312"/>
                <w:sz w:val="24"/>
              </w:rPr>
              <w:t>亿元。</w:t>
            </w:r>
          </w:p>
          <w:p w:rsidR="00C72DBD" w:rsidRDefault="00C72DBD">
            <w:pPr>
              <w:spacing w:line="360" w:lineRule="auto"/>
              <w:ind w:firstLineChars="200" w:firstLine="480"/>
              <w:rPr>
                <w:rFonts w:ascii="仿宋_GB2312" w:eastAsia="仿宋_GB2312" w:hAnsi="宋体" w:cs="黑体"/>
                <w:sz w:val="24"/>
              </w:rPr>
            </w:pPr>
          </w:p>
          <w:p w:rsidR="00C72DBD" w:rsidRDefault="00FC0A09">
            <w:pPr>
              <w:spacing w:line="360" w:lineRule="auto"/>
              <w:rPr>
                <w:rFonts w:ascii="仿宋_GB2312" w:eastAsia="仿宋_GB2312" w:hAnsi="宋体" w:cs="黑体"/>
                <w:sz w:val="24"/>
              </w:rPr>
            </w:pPr>
            <w:r>
              <w:rPr>
                <w:rFonts w:ascii="仿宋_GB2312" w:eastAsia="仿宋_GB2312" w:hAnsi="宋体" w:cs="黑体" w:hint="eastAsia"/>
                <w:sz w:val="24"/>
              </w:rPr>
              <w:t>二、清洁生产工作方面</w:t>
            </w:r>
          </w:p>
          <w:p w:rsidR="00C72DBD" w:rsidRDefault="00FC0A09">
            <w:pPr>
              <w:spacing w:line="360" w:lineRule="auto"/>
              <w:rPr>
                <w:rFonts w:ascii="仿宋_GB2312" w:eastAsia="仿宋_GB2312" w:hAnsi="宋体" w:cs="黑体"/>
                <w:sz w:val="24"/>
              </w:rPr>
            </w:pPr>
            <w:r>
              <w:rPr>
                <w:rFonts w:ascii="仿宋_GB2312" w:eastAsia="仿宋_GB2312" w:hAnsi="宋体" w:cs="黑体"/>
                <w:sz w:val="24"/>
              </w:rPr>
              <w:t>1</w:t>
            </w:r>
            <w:r>
              <w:rPr>
                <w:rFonts w:ascii="仿宋_GB2312" w:eastAsia="仿宋_GB2312" w:hAnsi="宋体" w:cs="黑体" w:hint="eastAsia"/>
                <w:sz w:val="24"/>
              </w:rPr>
              <w:t>、建立完善、有效的环境管理制度体系</w:t>
            </w:r>
          </w:p>
          <w:p w:rsidR="00C72DBD" w:rsidRDefault="00FC0A09">
            <w:pPr>
              <w:adjustRightInd w:val="0"/>
              <w:spacing w:line="360" w:lineRule="auto"/>
              <w:ind w:firstLineChars="200" w:firstLine="480"/>
              <w:rPr>
                <w:rFonts w:eastAsia="仿宋_GB2312"/>
                <w:sz w:val="24"/>
              </w:rPr>
            </w:pPr>
            <w:r>
              <w:rPr>
                <w:rFonts w:eastAsia="仿宋_GB2312"/>
                <w:sz w:val="24"/>
              </w:rPr>
              <w:t>新兴铸管根据国家和地方相关的环境法律法规和标准，建立起长效的环境管理体系运行保障机制，设立专职部门能源环保部，负责环保管理工作和环境管理体系的有效运行，根据生产实际，制定了《环保责任制》、《企业环境监督管理人员管理制度》、《突发环境事件公共关系应急处置管理制度》、《突发环境事件和调查处理管理制度》、《废气排放管理制度》、《废水排放管理制度》、《噪声污染管理制度》、《固体废物管理制度》、《环保设备管理制度》、《环保培训管理制度》、《污染源在线监测管理制度》和《环境信息公开管理制度》等</w:t>
            </w:r>
            <w:r>
              <w:rPr>
                <w:rFonts w:eastAsia="仿宋_GB2312"/>
                <w:sz w:val="24"/>
              </w:rPr>
              <w:t>26</w:t>
            </w:r>
            <w:r>
              <w:rPr>
                <w:rFonts w:eastAsia="仿宋_GB2312"/>
                <w:sz w:val="24"/>
              </w:rPr>
              <w:t>项环保制度文件，实行公司</w:t>
            </w:r>
            <w:r>
              <w:rPr>
                <w:rFonts w:eastAsia="仿宋_GB2312"/>
                <w:sz w:val="24"/>
              </w:rPr>
              <w:t>-</w:t>
            </w:r>
            <w:r>
              <w:rPr>
                <w:rFonts w:eastAsia="仿宋_GB2312"/>
                <w:sz w:val="24"/>
              </w:rPr>
              <w:t>实业部</w:t>
            </w:r>
            <w:r>
              <w:rPr>
                <w:rFonts w:eastAsia="仿宋_GB2312"/>
                <w:sz w:val="24"/>
              </w:rPr>
              <w:t>-</w:t>
            </w:r>
            <w:r>
              <w:rPr>
                <w:rFonts w:eastAsia="仿宋_GB2312"/>
                <w:sz w:val="24"/>
              </w:rPr>
              <w:t>作业区</w:t>
            </w:r>
            <w:r>
              <w:rPr>
                <w:rFonts w:eastAsia="仿宋_GB2312"/>
                <w:sz w:val="24"/>
              </w:rPr>
              <w:t>-</w:t>
            </w:r>
            <w:r>
              <w:rPr>
                <w:rFonts w:eastAsia="仿宋_GB2312"/>
                <w:sz w:val="24"/>
              </w:rPr>
              <w:t>班组四级环境管理体系，使环保管理工作系统化、程序化和标准化。</w:t>
            </w:r>
          </w:p>
          <w:p w:rsidR="00C72DBD" w:rsidRDefault="00FC0A09">
            <w:pPr>
              <w:adjustRightInd w:val="0"/>
              <w:spacing w:line="360" w:lineRule="auto"/>
              <w:ind w:firstLineChars="200" w:firstLine="480"/>
              <w:rPr>
                <w:rFonts w:eastAsia="仿宋_GB2312"/>
                <w:sz w:val="24"/>
              </w:rPr>
            </w:pPr>
            <w:r>
              <w:rPr>
                <w:rFonts w:eastAsia="仿宋_GB2312"/>
                <w:sz w:val="24"/>
              </w:rPr>
              <w:t>2000</w:t>
            </w:r>
            <w:r>
              <w:rPr>
                <w:rFonts w:eastAsia="仿宋_GB2312"/>
                <w:sz w:val="24"/>
              </w:rPr>
              <w:t>年，新兴铸管在全国冶金行业率先通过</w:t>
            </w:r>
            <w:r>
              <w:rPr>
                <w:rFonts w:eastAsia="仿宋_GB2312"/>
                <w:sz w:val="24"/>
              </w:rPr>
              <w:t>ISO 14001</w:t>
            </w:r>
            <w:r>
              <w:rPr>
                <w:rFonts w:eastAsia="仿宋_GB2312"/>
                <w:sz w:val="24"/>
              </w:rPr>
              <w:t>环境管理体系认证。</w:t>
            </w:r>
          </w:p>
          <w:p w:rsidR="00C72DBD" w:rsidRDefault="00FC0A09">
            <w:pPr>
              <w:adjustRightInd w:val="0"/>
              <w:spacing w:line="360" w:lineRule="auto"/>
              <w:ind w:firstLineChars="200" w:firstLine="480"/>
              <w:rPr>
                <w:rFonts w:eastAsia="仿宋_GB2312"/>
                <w:sz w:val="24"/>
              </w:rPr>
            </w:pPr>
            <w:r>
              <w:rPr>
                <w:rFonts w:eastAsia="仿宋_GB2312"/>
                <w:sz w:val="24"/>
              </w:rPr>
              <w:t>2015</w:t>
            </w:r>
            <w:r>
              <w:rPr>
                <w:rFonts w:eastAsia="仿宋_GB2312"/>
                <w:sz w:val="24"/>
              </w:rPr>
              <w:t>年，按照河北省印发的《企业环境管理自律体系建设指南》（试行）要求，建立起完善的环保自律体系。</w:t>
            </w:r>
          </w:p>
          <w:p w:rsidR="00C72DBD" w:rsidRDefault="00FC0A09">
            <w:pPr>
              <w:adjustRightInd w:val="0"/>
              <w:spacing w:line="360" w:lineRule="auto"/>
              <w:ind w:firstLineChars="200" w:firstLine="480"/>
              <w:rPr>
                <w:rFonts w:eastAsia="仿宋_GB2312"/>
                <w:sz w:val="24"/>
              </w:rPr>
            </w:pPr>
            <w:r>
              <w:rPr>
                <w:rFonts w:eastAsia="仿宋_GB2312"/>
                <w:sz w:val="24"/>
              </w:rPr>
              <w:t>2023</w:t>
            </w:r>
            <w:r>
              <w:rPr>
                <w:rFonts w:eastAsia="仿宋_GB2312"/>
                <w:sz w:val="24"/>
              </w:rPr>
              <w:t>年</w:t>
            </w:r>
            <w:r>
              <w:rPr>
                <w:rFonts w:eastAsia="仿宋_GB2312"/>
                <w:sz w:val="24"/>
              </w:rPr>
              <w:t>7</w:t>
            </w:r>
            <w:r>
              <w:rPr>
                <w:rFonts w:eastAsia="仿宋_GB2312"/>
                <w:sz w:val="24"/>
              </w:rPr>
              <w:t>月，按照</w:t>
            </w:r>
            <w:r>
              <w:rPr>
                <w:rFonts w:eastAsia="仿宋_GB2312"/>
                <w:sz w:val="24"/>
              </w:rPr>
              <w:t>GB/T 24001-2016</w:t>
            </w:r>
            <w:r>
              <w:rPr>
                <w:rFonts w:eastAsia="仿宋_GB2312"/>
                <w:sz w:val="24"/>
              </w:rPr>
              <w:t>环境管理体系要求及使用指南，对环境管理体系文件进行了修订，并通过北京国金衡信认证有限公司环境管理体系监督审核。</w:t>
            </w:r>
          </w:p>
          <w:p w:rsidR="00C72DBD" w:rsidRDefault="00FC0A09">
            <w:pPr>
              <w:spacing w:line="360" w:lineRule="auto"/>
              <w:rPr>
                <w:rFonts w:ascii="仿宋_GB2312" w:eastAsia="仿宋_GB2312" w:hAnsi="宋体" w:cs="黑体"/>
                <w:sz w:val="24"/>
              </w:rPr>
            </w:pPr>
            <w:r>
              <w:rPr>
                <w:rFonts w:ascii="仿宋_GB2312" w:eastAsia="仿宋_GB2312" w:hAnsi="宋体" w:cs="黑体" w:hint="eastAsia"/>
                <w:sz w:val="24"/>
              </w:rPr>
              <w:t>2、企业清洁生产技术创新（研发和使用）及实施效果</w:t>
            </w:r>
          </w:p>
          <w:p w:rsidR="00C72DBD" w:rsidRDefault="00FC0A09">
            <w:pPr>
              <w:spacing w:line="360" w:lineRule="auto"/>
              <w:ind w:firstLineChars="200" w:firstLine="480"/>
              <w:rPr>
                <w:rFonts w:eastAsia="仿宋_GB2312"/>
                <w:sz w:val="24"/>
              </w:rPr>
            </w:pPr>
            <w:r>
              <w:rPr>
                <w:rFonts w:eastAsia="仿宋_GB2312"/>
                <w:sz w:val="24"/>
              </w:rPr>
              <w:t>近年来，新兴铸管持续落实清洁生产理念，持续加大对清洁生产技术创新研发投入，积极提高各工序清洁生产标准，累计</w:t>
            </w:r>
            <w:r>
              <w:rPr>
                <w:rFonts w:eastAsia="仿宋_GB2312" w:hint="eastAsia"/>
                <w:sz w:val="24"/>
              </w:rPr>
              <w:t>完成</w:t>
            </w:r>
            <w:r>
              <w:rPr>
                <w:rFonts w:eastAsia="仿宋_GB2312"/>
                <w:sz w:val="24"/>
              </w:rPr>
              <w:t>400</w:t>
            </w:r>
            <w:r>
              <w:rPr>
                <w:rFonts w:eastAsia="仿宋_GB2312"/>
                <w:sz w:val="24"/>
              </w:rPr>
              <w:t>余项</w:t>
            </w:r>
            <w:r>
              <w:rPr>
                <w:rFonts w:eastAsia="仿宋_GB2312" w:hint="eastAsia"/>
                <w:sz w:val="24"/>
              </w:rPr>
              <w:t>技改项目</w:t>
            </w:r>
            <w:r>
              <w:rPr>
                <w:rFonts w:eastAsia="仿宋_GB2312"/>
                <w:sz w:val="24"/>
              </w:rPr>
              <w:t>，如烧结烟气循环改造、球团回转窑低氮燃烧、高炉热风炉自动优化燃烧和低氮燃烧改造、焦化烟道余热回收、轧钢加热炉智能低氮燃烧改造、铸管退火炉低氮燃烧、电厂机组自动优化烧炉、全厂智能照明项目改造等，以上项目的实施</w:t>
            </w:r>
            <w:r>
              <w:rPr>
                <w:rFonts w:eastAsia="仿宋_GB2312"/>
                <w:sz w:val="24"/>
                <w:szCs w:val="28"/>
              </w:rPr>
              <w:t>不仅节约了资源、能源，取得了显著的经济效益，而且减少了污染物排放，经济效益、环境效益显著。</w:t>
            </w:r>
          </w:p>
          <w:p w:rsidR="00C72DBD" w:rsidRDefault="00FC0A09">
            <w:pPr>
              <w:spacing w:line="360" w:lineRule="auto"/>
              <w:rPr>
                <w:rFonts w:ascii="仿宋_GB2312" w:eastAsia="仿宋_GB2312" w:hAnsi="宋体" w:cs="黑体"/>
                <w:sz w:val="24"/>
              </w:rPr>
            </w:pPr>
            <w:r>
              <w:rPr>
                <w:rFonts w:ascii="仿宋_GB2312" w:eastAsia="仿宋_GB2312" w:hAnsi="宋体" w:cs="黑体"/>
                <w:sz w:val="24"/>
              </w:rPr>
              <w:t>3</w:t>
            </w:r>
            <w:r>
              <w:rPr>
                <w:rFonts w:ascii="仿宋_GB2312" w:eastAsia="仿宋_GB2312" w:hAnsi="宋体" w:cs="黑体" w:hint="eastAsia"/>
                <w:sz w:val="24"/>
              </w:rPr>
              <w:t>、企业实施清洁生产技改项目情况</w:t>
            </w:r>
          </w:p>
          <w:p w:rsidR="00C72DBD" w:rsidRDefault="00FC0A09">
            <w:pPr>
              <w:spacing w:line="360" w:lineRule="auto"/>
              <w:ind w:firstLineChars="200" w:firstLine="480"/>
              <w:rPr>
                <w:rFonts w:eastAsia="仿宋_GB2312"/>
                <w:sz w:val="24"/>
              </w:rPr>
            </w:pPr>
            <w:r>
              <w:rPr>
                <w:rFonts w:eastAsia="仿宋_GB2312"/>
                <w:sz w:val="24"/>
              </w:rPr>
              <w:t>自</w:t>
            </w:r>
            <w:r>
              <w:rPr>
                <w:rFonts w:eastAsia="仿宋_GB2312"/>
                <w:sz w:val="24"/>
              </w:rPr>
              <w:t>2017</w:t>
            </w:r>
            <w:r>
              <w:rPr>
                <w:rFonts w:eastAsia="仿宋_GB2312"/>
                <w:sz w:val="24"/>
              </w:rPr>
              <w:t>年以来</w:t>
            </w:r>
            <w:r>
              <w:rPr>
                <w:rFonts w:eastAsia="仿宋_GB2312" w:hint="eastAsia"/>
                <w:sz w:val="24"/>
              </w:rPr>
              <w:t>，</w:t>
            </w:r>
            <w:r>
              <w:rPr>
                <w:rFonts w:eastAsia="仿宋_GB2312"/>
                <w:sz w:val="24"/>
              </w:rPr>
              <w:t>新兴铸管开展了全工序清洁生产技术改造，</w:t>
            </w:r>
            <w:r>
              <w:rPr>
                <w:rFonts w:eastAsia="仿宋_GB2312" w:hint="eastAsia"/>
                <w:sz w:val="24"/>
              </w:rPr>
              <w:t>累计</w:t>
            </w:r>
            <w:r>
              <w:rPr>
                <w:rFonts w:eastAsia="仿宋_GB2312"/>
                <w:sz w:val="24"/>
              </w:rPr>
              <w:t>完成</w:t>
            </w:r>
            <w:r>
              <w:rPr>
                <w:rFonts w:eastAsia="仿宋_GB2312"/>
                <w:sz w:val="24"/>
              </w:rPr>
              <w:t>400</w:t>
            </w:r>
            <w:r>
              <w:rPr>
                <w:rFonts w:eastAsia="仿宋_GB2312"/>
                <w:sz w:val="24"/>
              </w:rPr>
              <w:t>余项技改提升项目，大幅降低污染物排放量，并取得了良好的经济效益，实现经济效益和环境效益双丰收，</w:t>
            </w:r>
            <w:r>
              <w:rPr>
                <w:rFonts w:eastAsia="仿宋_GB2312" w:hint="eastAsia"/>
                <w:sz w:val="24"/>
              </w:rPr>
              <w:t>以下列举部分</w:t>
            </w:r>
            <w:r>
              <w:rPr>
                <w:rFonts w:eastAsia="仿宋_GB2312"/>
                <w:sz w:val="24"/>
              </w:rPr>
              <w:t>主要技改项目完成情况。</w:t>
            </w:r>
          </w:p>
          <w:tbl>
            <w:tblPr>
              <w:tblW w:w="9288" w:type="dxa"/>
              <w:tblLayout w:type="fixed"/>
              <w:tblLook w:val="04A0" w:firstRow="1" w:lastRow="0" w:firstColumn="1" w:lastColumn="0" w:noHBand="0" w:noVBand="1"/>
            </w:tblPr>
            <w:tblGrid>
              <w:gridCol w:w="503"/>
              <w:gridCol w:w="600"/>
              <w:gridCol w:w="1665"/>
              <w:gridCol w:w="3402"/>
              <w:gridCol w:w="3118"/>
            </w:tblGrid>
            <w:tr w:rsidR="00C72DBD">
              <w:trPr>
                <w:trHeight w:val="70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序号</w:t>
                  </w:r>
                </w:p>
              </w:tc>
              <w:tc>
                <w:tcPr>
                  <w:tcW w:w="6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工序</w:t>
                  </w: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清洁生产技改项目</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项目情况概述</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清洁生产成效</w:t>
                  </w:r>
                </w:p>
              </w:tc>
            </w:tr>
            <w:tr w:rsidR="00C72DBD">
              <w:trPr>
                <w:trHeight w:val="152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1</w:t>
                  </w:r>
                </w:p>
              </w:tc>
              <w:tc>
                <w:tcPr>
                  <w:tcW w:w="600" w:type="dxa"/>
                  <w:vMerge w:val="restart"/>
                  <w:tcBorders>
                    <w:top w:val="single" w:sz="4" w:space="0" w:color="000000"/>
                    <w:left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烧结</w:t>
                  </w: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烧结除尘控制系统优化</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增设电除尘自动调节系统，解决排放与节能的自动调整问题，对出口粉尘、电源及除尘系统相关外部参数分析，智能自动化选择更有利于减排的电源工作参数。</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Style w:val="font41"/>
                      <w:rFonts w:ascii="Times New Roman" w:eastAsia="楷体" w:hAnsi="Times New Roman" w:cs="Times New Roman" w:hint="default"/>
                      <w:color w:val="auto"/>
                      <w:sz w:val="21"/>
                      <w:szCs w:val="21"/>
                      <w:lang w:bidi="ar"/>
                    </w:rPr>
                  </w:pPr>
                  <w:r>
                    <w:rPr>
                      <w:rStyle w:val="font41"/>
                      <w:rFonts w:ascii="Times New Roman" w:eastAsia="楷体" w:hAnsi="Times New Roman" w:cs="Times New Roman" w:hint="default"/>
                      <w:color w:val="auto"/>
                      <w:sz w:val="21"/>
                      <w:szCs w:val="21"/>
                      <w:lang w:bidi="ar"/>
                    </w:rPr>
                    <w:t>节能：节电</w:t>
                  </w:r>
                  <w:r>
                    <w:rPr>
                      <w:rStyle w:val="font11"/>
                      <w:rFonts w:eastAsia="楷体"/>
                      <w:color w:val="auto"/>
                      <w:sz w:val="21"/>
                      <w:szCs w:val="21"/>
                      <w:lang w:bidi="ar"/>
                    </w:rPr>
                    <w:t>128</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kWh/</w:t>
                  </w:r>
                  <w:r>
                    <w:rPr>
                      <w:rStyle w:val="font41"/>
                      <w:rFonts w:ascii="Times New Roman" w:eastAsia="楷体" w:hAnsi="Times New Roman" w:cs="Times New Roman" w:hint="default"/>
                      <w:color w:val="auto"/>
                      <w:sz w:val="21"/>
                      <w:szCs w:val="21"/>
                      <w:lang w:bidi="ar"/>
                    </w:rPr>
                    <w:t>年，节能量</w:t>
                  </w:r>
                  <w:r>
                    <w:rPr>
                      <w:rStyle w:val="font11"/>
                      <w:rFonts w:eastAsia="楷体"/>
                      <w:color w:val="auto"/>
                      <w:sz w:val="21"/>
                      <w:szCs w:val="21"/>
                      <w:lang w:bidi="ar"/>
                    </w:rPr>
                    <w:t>158</w:t>
                  </w:r>
                  <w:r>
                    <w:rPr>
                      <w:rStyle w:val="font41"/>
                      <w:rFonts w:ascii="Times New Roman" w:eastAsia="楷体" w:hAnsi="Times New Roman" w:cs="Times New Roman" w:hint="default"/>
                      <w:color w:val="auto"/>
                      <w:sz w:val="21"/>
                      <w:szCs w:val="21"/>
                      <w:lang w:bidi="ar"/>
                    </w:rPr>
                    <w:t>吨标煤</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p>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增效：经济效益</w:t>
                  </w:r>
                  <w:r>
                    <w:rPr>
                      <w:rStyle w:val="font11"/>
                      <w:rFonts w:eastAsia="楷体"/>
                      <w:color w:val="auto"/>
                      <w:sz w:val="21"/>
                      <w:szCs w:val="21"/>
                      <w:lang w:bidi="ar"/>
                    </w:rPr>
                    <w:t>64</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p>
              </w:tc>
            </w:tr>
            <w:tr w:rsidR="00C72DBD">
              <w:trPr>
                <w:trHeight w:val="1134"/>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2</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烧结环冷永磁直驱电机改造</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采用永磁涡流柔性传动调速装置代替耦合器，对风机进行调速控制，有效节电</w:t>
                  </w:r>
                  <w:r>
                    <w:rPr>
                      <w:rStyle w:val="font11"/>
                      <w:rFonts w:eastAsia="楷体"/>
                      <w:color w:val="auto"/>
                      <w:sz w:val="21"/>
                      <w:szCs w:val="21"/>
                      <w:lang w:bidi="ar"/>
                    </w:rPr>
                    <w:t>15%</w:t>
                  </w:r>
                  <w:r>
                    <w:rPr>
                      <w:rStyle w:val="font41"/>
                      <w:rFonts w:ascii="Times New Roman" w:eastAsia="楷体" w:hAnsi="Times New Roman" w:cs="Times New Roman" w:hint="default"/>
                      <w:color w:val="auto"/>
                      <w:sz w:val="21"/>
                      <w:szCs w:val="21"/>
                      <w:lang w:bidi="ar"/>
                    </w:rPr>
                    <w:t>，降低生产成本。</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Style w:val="font41"/>
                      <w:rFonts w:ascii="Times New Roman" w:eastAsia="楷体" w:hAnsi="Times New Roman" w:cs="Times New Roman" w:hint="default"/>
                      <w:color w:val="auto"/>
                      <w:sz w:val="21"/>
                      <w:szCs w:val="21"/>
                      <w:lang w:bidi="ar"/>
                    </w:rPr>
                  </w:pPr>
                  <w:r>
                    <w:rPr>
                      <w:rStyle w:val="font41"/>
                      <w:rFonts w:ascii="Times New Roman" w:eastAsia="楷体" w:hAnsi="Times New Roman" w:cs="Times New Roman" w:hint="default"/>
                      <w:color w:val="auto"/>
                      <w:sz w:val="21"/>
                      <w:szCs w:val="21"/>
                      <w:lang w:bidi="ar"/>
                    </w:rPr>
                    <w:t>节能：节电量约</w:t>
                  </w:r>
                  <w:r>
                    <w:rPr>
                      <w:rStyle w:val="font11"/>
                      <w:rFonts w:eastAsia="楷体"/>
                      <w:color w:val="auto"/>
                      <w:sz w:val="21"/>
                      <w:szCs w:val="21"/>
                      <w:lang w:bidi="ar"/>
                    </w:rPr>
                    <w:t>115kWh/</w:t>
                  </w:r>
                  <w:r>
                    <w:rPr>
                      <w:rStyle w:val="font41"/>
                      <w:rFonts w:ascii="Times New Roman" w:eastAsia="楷体" w:hAnsi="Times New Roman" w:cs="Times New Roman" w:hint="default"/>
                      <w:color w:val="auto"/>
                      <w:sz w:val="21"/>
                      <w:szCs w:val="21"/>
                      <w:lang w:bidi="ar"/>
                    </w:rPr>
                    <w:t>年，节能量</w:t>
                  </w:r>
                  <w:r>
                    <w:rPr>
                      <w:rStyle w:val="font11"/>
                      <w:rFonts w:eastAsia="楷体"/>
                      <w:color w:val="auto"/>
                      <w:sz w:val="21"/>
                      <w:szCs w:val="21"/>
                      <w:lang w:bidi="ar"/>
                    </w:rPr>
                    <w:t>142</w:t>
                  </w:r>
                  <w:r>
                    <w:rPr>
                      <w:rStyle w:val="font41"/>
                      <w:rFonts w:ascii="Times New Roman" w:eastAsia="楷体" w:hAnsi="Times New Roman" w:cs="Times New Roman" w:hint="default"/>
                      <w:color w:val="auto"/>
                      <w:sz w:val="21"/>
                      <w:szCs w:val="21"/>
                      <w:lang w:bidi="ar"/>
                    </w:rPr>
                    <w:t>吨标煤</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p>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增效：经济效益</w:t>
                  </w:r>
                  <w:r>
                    <w:rPr>
                      <w:rStyle w:val="font11"/>
                      <w:rFonts w:eastAsia="楷体"/>
                      <w:color w:val="auto"/>
                      <w:sz w:val="21"/>
                      <w:szCs w:val="21"/>
                      <w:lang w:bidi="ar"/>
                    </w:rPr>
                    <w:t>78</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p>
              </w:tc>
            </w:tr>
            <w:tr w:rsidR="00C72DBD">
              <w:trPr>
                <w:trHeight w:val="85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3</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3#</w:t>
                  </w:r>
                  <w:r>
                    <w:rPr>
                      <w:rStyle w:val="font41"/>
                      <w:rFonts w:ascii="Times New Roman" w:eastAsia="楷体" w:hAnsi="Times New Roman" w:cs="Times New Roman" w:hint="default"/>
                      <w:color w:val="auto"/>
                      <w:sz w:val="21"/>
                      <w:szCs w:val="21"/>
                      <w:lang w:bidi="ar"/>
                    </w:rPr>
                    <w:t>烧结环冷机余热回收利用</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环冷机余热回收利用，采用循环风机余热回收方式，产汽量约</w:t>
                  </w:r>
                  <w:r>
                    <w:rPr>
                      <w:rStyle w:val="font11"/>
                      <w:rFonts w:eastAsia="楷体"/>
                      <w:color w:val="auto"/>
                      <w:sz w:val="21"/>
                      <w:szCs w:val="21"/>
                      <w:lang w:bidi="ar"/>
                    </w:rPr>
                    <w:t>12t/h</w:t>
                  </w:r>
                  <w:r>
                    <w:rPr>
                      <w:rStyle w:val="font41"/>
                      <w:rFonts w:ascii="Times New Roman" w:eastAsia="楷体" w:hAnsi="Times New Roman" w:cs="Times New Roman" w:hint="default"/>
                      <w:color w:val="auto"/>
                      <w:sz w:val="21"/>
                      <w:szCs w:val="21"/>
                      <w:lang w:bidi="ar"/>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Style w:val="font41"/>
                      <w:rFonts w:ascii="Times New Roman" w:eastAsia="楷体" w:hAnsi="Times New Roman" w:cs="Times New Roman" w:hint="default"/>
                      <w:color w:val="auto"/>
                      <w:sz w:val="21"/>
                      <w:szCs w:val="21"/>
                      <w:lang w:bidi="ar"/>
                    </w:rPr>
                  </w:pPr>
                  <w:r>
                    <w:rPr>
                      <w:rStyle w:val="font41"/>
                      <w:rFonts w:ascii="Times New Roman" w:eastAsia="楷体" w:hAnsi="Times New Roman" w:cs="Times New Roman" w:hint="default"/>
                      <w:color w:val="auto"/>
                      <w:sz w:val="21"/>
                      <w:szCs w:val="21"/>
                      <w:lang w:bidi="ar"/>
                    </w:rPr>
                    <w:t>节能：节能量</w:t>
                  </w:r>
                  <w:r>
                    <w:rPr>
                      <w:rStyle w:val="font11"/>
                      <w:rFonts w:eastAsia="楷体"/>
                      <w:color w:val="auto"/>
                      <w:sz w:val="21"/>
                      <w:szCs w:val="21"/>
                      <w:lang w:bidi="ar"/>
                    </w:rPr>
                    <w:t>9072</w:t>
                  </w:r>
                  <w:r>
                    <w:rPr>
                      <w:rStyle w:val="font41"/>
                      <w:rFonts w:ascii="Times New Roman" w:eastAsia="楷体" w:hAnsi="Times New Roman" w:cs="Times New Roman" w:hint="default"/>
                      <w:color w:val="auto"/>
                      <w:sz w:val="21"/>
                      <w:szCs w:val="21"/>
                      <w:lang w:bidi="ar"/>
                    </w:rPr>
                    <w:t>吨标煤</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p>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增效：经济效益</w:t>
                  </w:r>
                  <w:r>
                    <w:rPr>
                      <w:rStyle w:val="font11"/>
                      <w:rFonts w:eastAsia="楷体"/>
                      <w:color w:val="auto"/>
                      <w:sz w:val="21"/>
                      <w:szCs w:val="21"/>
                      <w:lang w:bidi="ar"/>
                    </w:rPr>
                    <w:t>288</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p>
              </w:tc>
            </w:tr>
            <w:tr w:rsidR="00C72DBD">
              <w:trPr>
                <w:trHeight w:val="134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4</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1#</w:t>
                  </w:r>
                  <w:r>
                    <w:rPr>
                      <w:rStyle w:val="font41"/>
                      <w:rFonts w:ascii="Times New Roman" w:eastAsia="楷体" w:hAnsi="Times New Roman" w:cs="Times New Roman" w:hint="default"/>
                      <w:color w:val="auto"/>
                      <w:sz w:val="21"/>
                      <w:szCs w:val="21"/>
                      <w:lang w:bidi="ar"/>
                    </w:rPr>
                    <w:t>烧结环冷余热提标改造</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环冷机建设</w:t>
                  </w:r>
                  <w:r>
                    <w:rPr>
                      <w:rStyle w:val="font11"/>
                      <w:rFonts w:eastAsia="楷体"/>
                      <w:color w:val="auto"/>
                      <w:sz w:val="21"/>
                      <w:szCs w:val="21"/>
                      <w:lang w:bidi="ar"/>
                    </w:rPr>
                    <w:t>SHRT</w:t>
                  </w:r>
                  <w:r>
                    <w:rPr>
                      <w:rStyle w:val="font41"/>
                      <w:rFonts w:ascii="Times New Roman" w:eastAsia="楷体" w:hAnsi="Times New Roman" w:cs="Times New Roman" w:hint="default"/>
                      <w:color w:val="auto"/>
                      <w:sz w:val="21"/>
                      <w:szCs w:val="21"/>
                      <w:lang w:bidi="ar"/>
                    </w:rPr>
                    <w:t>机组，回收利用</w:t>
                  </w:r>
                  <w:r>
                    <w:rPr>
                      <w:rStyle w:val="font11"/>
                      <w:rFonts w:eastAsia="楷体"/>
                      <w:color w:val="auto"/>
                      <w:sz w:val="21"/>
                      <w:szCs w:val="21"/>
                      <w:lang w:bidi="ar"/>
                    </w:rPr>
                    <w:t>1#</w:t>
                  </w:r>
                  <w:r>
                    <w:rPr>
                      <w:rStyle w:val="font41"/>
                      <w:rFonts w:ascii="Times New Roman" w:eastAsia="楷体" w:hAnsi="Times New Roman" w:cs="Times New Roman" w:hint="default"/>
                      <w:color w:val="auto"/>
                      <w:sz w:val="21"/>
                      <w:szCs w:val="21"/>
                      <w:lang w:bidi="ar"/>
                    </w:rPr>
                    <w:t>烧结机环冷余热和大烟道余热产生</w:t>
                  </w:r>
                  <w:r>
                    <w:rPr>
                      <w:rStyle w:val="font11"/>
                      <w:rFonts w:eastAsia="楷体"/>
                      <w:color w:val="auto"/>
                      <w:sz w:val="21"/>
                      <w:szCs w:val="21"/>
                      <w:lang w:bidi="ar"/>
                    </w:rPr>
                    <w:t>1.3MPa</w:t>
                  </w:r>
                  <w:r>
                    <w:rPr>
                      <w:rStyle w:val="font41"/>
                      <w:rFonts w:ascii="Times New Roman" w:eastAsia="楷体" w:hAnsi="Times New Roman" w:cs="Times New Roman" w:hint="default"/>
                      <w:color w:val="auto"/>
                      <w:sz w:val="21"/>
                      <w:szCs w:val="21"/>
                      <w:lang w:bidi="ar"/>
                    </w:rPr>
                    <w:t>过热蒸汽，通过汽轮机直接拖动烧结主抽风机运行。</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节能：节电量约</w:t>
                  </w:r>
                  <w:r>
                    <w:rPr>
                      <w:rStyle w:val="font11"/>
                      <w:rFonts w:eastAsia="楷体"/>
                      <w:color w:val="auto"/>
                      <w:sz w:val="21"/>
                      <w:szCs w:val="21"/>
                      <w:lang w:bidi="ar"/>
                    </w:rPr>
                    <w:t>4200kWh/</w:t>
                  </w:r>
                  <w:r>
                    <w:rPr>
                      <w:rStyle w:val="font41"/>
                      <w:rFonts w:ascii="Times New Roman" w:eastAsia="楷体" w:hAnsi="Times New Roman" w:cs="Times New Roman" w:hint="default"/>
                      <w:color w:val="auto"/>
                      <w:sz w:val="21"/>
                      <w:szCs w:val="21"/>
                      <w:lang w:bidi="ar"/>
                    </w:rPr>
                    <w:t>年，节能量</w:t>
                  </w:r>
                  <w:r>
                    <w:rPr>
                      <w:rStyle w:val="font11"/>
                      <w:rFonts w:eastAsia="楷体"/>
                      <w:color w:val="auto"/>
                      <w:sz w:val="21"/>
                      <w:szCs w:val="21"/>
                      <w:lang w:bidi="ar"/>
                    </w:rPr>
                    <w:t>5162</w:t>
                  </w:r>
                  <w:r>
                    <w:rPr>
                      <w:rStyle w:val="font41"/>
                      <w:rFonts w:ascii="Times New Roman" w:eastAsia="楷体" w:hAnsi="Times New Roman" w:cs="Times New Roman" w:hint="default"/>
                      <w:color w:val="auto"/>
                      <w:sz w:val="21"/>
                      <w:szCs w:val="21"/>
                      <w:lang w:bidi="ar"/>
                    </w:rPr>
                    <w:t>吨标煤</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r>
                    <w:rPr>
                      <w:rStyle w:val="font11"/>
                      <w:rFonts w:eastAsia="楷体"/>
                      <w:color w:val="auto"/>
                      <w:sz w:val="21"/>
                      <w:szCs w:val="21"/>
                      <w:lang w:bidi="ar"/>
                    </w:rPr>
                    <w:br/>
                  </w:r>
                  <w:r>
                    <w:rPr>
                      <w:rStyle w:val="font41"/>
                      <w:rFonts w:ascii="Times New Roman" w:eastAsia="楷体" w:hAnsi="Times New Roman" w:cs="Times New Roman" w:hint="default"/>
                      <w:color w:val="auto"/>
                      <w:sz w:val="21"/>
                      <w:szCs w:val="21"/>
                      <w:lang w:bidi="ar"/>
                    </w:rPr>
                    <w:t>增效：经济效益</w:t>
                  </w:r>
                  <w:r>
                    <w:rPr>
                      <w:rStyle w:val="font11"/>
                      <w:rFonts w:eastAsia="楷体"/>
                      <w:color w:val="auto"/>
                      <w:sz w:val="21"/>
                      <w:szCs w:val="21"/>
                      <w:lang w:bidi="ar"/>
                    </w:rPr>
                    <w:t>2037</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p>
              </w:tc>
            </w:tr>
            <w:tr w:rsidR="00C72DBD">
              <w:trPr>
                <w:trHeight w:val="150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5</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烧结机烟气循环改造提升</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将风箱中温度较高废气，通过循环风机引至烧结机台车上方循环利用，循环比例达到</w:t>
                  </w:r>
                  <w:r>
                    <w:rPr>
                      <w:rStyle w:val="font11"/>
                      <w:rFonts w:eastAsia="楷体"/>
                      <w:color w:val="auto"/>
                      <w:sz w:val="21"/>
                      <w:szCs w:val="21"/>
                      <w:lang w:bidi="ar"/>
                    </w:rPr>
                    <w:t>25%</w:t>
                  </w:r>
                  <w:r>
                    <w:rPr>
                      <w:rStyle w:val="font41"/>
                      <w:rFonts w:ascii="Times New Roman" w:eastAsia="楷体" w:hAnsi="Times New Roman" w:cs="Times New Roman" w:hint="default"/>
                      <w:color w:val="auto"/>
                      <w:sz w:val="21"/>
                      <w:szCs w:val="21"/>
                      <w:lang w:bidi="ar"/>
                    </w:rPr>
                    <w:t>以上，利用高温废气余热，减少</w:t>
                  </w:r>
                  <w:r>
                    <w:rPr>
                      <w:rStyle w:val="font11"/>
                      <w:rFonts w:eastAsia="楷体"/>
                      <w:color w:val="auto"/>
                      <w:sz w:val="21"/>
                      <w:szCs w:val="21"/>
                      <w:lang w:bidi="ar"/>
                    </w:rPr>
                    <w:t>CO</w:t>
                  </w:r>
                  <w:r>
                    <w:rPr>
                      <w:rStyle w:val="font41"/>
                      <w:rFonts w:ascii="Times New Roman" w:eastAsia="楷体" w:hAnsi="Times New Roman" w:cs="Times New Roman" w:hint="default"/>
                      <w:color w:val="auto"/>
                      <w:sz w:val="21"/>
                      <w:szCs w:val="21"/>
                      <w:lang w:bidi="ar"/>
                    </w:rPr>
                    <w:t>的排放，同时降低烧结固体燃料消耗。</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节能：节烧结煤量</w:t>
                  </w:r>
                  <w:r>
                    <w:rPr>
                      <w:rStyle w:val="font11"/>
                      <w:rFonts w:eastAsia="楷体"/>
                      <w:color w:val="auto"/>
                      <w:sz w:val="21"/>
                      <w:szCs w:val="21"/>
                      <w:lang w:bidi="ar"/>
                    </w:rPr>
                    <w:t>2.12</w:t>
                  </w:r>
                  <w:r>
                    <w:rPr>
                      <w:rStyle w:val="font41"/>
                      <w:rFonts w:ascii="Times New Roman" w:eastAsia="楷体" w:hAnsi="Times New Roman" w:cs="Times New Roman" w:hint="default"/>
                      <w:color w:val="auto"/>
                      <w:sz w:val="21"/>
                      <w:szCs w:val="21"/>
                      <w:lang w:bidi="ar"/>
                    </w:rPr>
                    <w:t>万吨</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r>
                    <w:rPr>
                      <w:rStyle w:val="font11"/>
                      <w:rFonts w:eastAsia="楷体"/>
                      <w:color w:val="auto"/>
                      <w:sz w:val="21"/>
                      <w:szCs w:val="21"/>
                      <w:lang w:bidi="ar"/>
                    </w:rPr>
                    <w:br/>
                  </w:r>
                  <w:r>
                    <w:rPr>
                      <w:rStyle w:val="font41"/>
                      <w:rFonts w:ascii="Times New Roman" w:eastAsia="楷体" w:hAnsi="Times New Roman" w:cs="Times New Roman" w:hint="default"/>
                      <w:color w:val="auto"/>
                      <w:sz w:val="21"/>
                      <w:szCs w:val="21"/>
                      <w:lang w:bidi="ar"/>
                    </w:rPr>
                    <w:t>增效：经济效益</w:t>
                  </w:r>
                  <w:r>
                    <w:rPr>
                      <w:rStyle w:val="font11"/>
                      <w:rFonts w:eastAsia="楷体"/>
                      <w:color w:val="auto"/>
                      <w:sz w:val="21"/>
                      <w:szCs w:val="21"/>
                      <w:lang w:bidi="ar"/>
                    </w:rPr>
                    <w:t>1634.52</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p>
              </w:tc>
            </w:tr>
            <w:tr w:rsidR="00C72DBD">
              <w:trPr>
                <w:trHeight w:val="102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6</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烧结富氧点火</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料面喷蒸汽</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增加助燃空气氧含量，料面喷吹蒸汽不小于</w:t>
                  </w:r>
                  <w:r>
                    <w:rPr>
                      <w:rStyle w:val="font11"/>
                      <w:rFonts w:eastAsia="楷体"/>
                      <w:color w:val="auto"/>
                      <w:sz w:val="21"/>
                      <w:szCs w:val="21"/>
                      <w:lang w:bidi="ar"/>
                    </w:rPr>
                    <w:t>2kg</w:t>
                  </w:r>
                  <w:r>
                    <w:rPr>
                      <w:rStyle w:val="font41"/>
                      <w:rFonts w:ascii="Times New Roman" w:eastAsia="楷体" w:hAnsi="Times New Roman" w:cs="Times New Roman" w:hint="default"/>
                      <w:color w:val="auto"/>
                      <w:sz w:val="21"/>
                      <w:szCs w:val="21"/>
                      <w:lang w:bidi="ar"/>
                    </w:rPr>
                    <w:t>，蒸汽量不小于</w:t>
                  </w:r>
                  <w:r>
                    <w:rPr>
                      <w:rStyle w:val="font11"/>
                      <w:rFonts w:eastAsia="楷体"/>
                      <w:color w:val="auto"/>
                      <w:sz w:val="21"/>
                      <w:szCs w:val="21"/>
                      <w:lang w:bidi="ar"/>
                    </w:rPr>
                    <w:t>1.6t/h</w:t>
                  </w:r>
                  <w:r>
                    <w:rPr>
                      <w:rStyle w:val="font41"/>
                      <w:rFonts w:ascii="Times New Roman" w:eastAsia="楷体" w:hAnsi="Times New Roman" w:cs="Times New Roman" w:hint="default"/>
                      <w:color w:val="auto"/>
                      <w:sz w:val="21"/>
                      <w:szCs w:val="21"/>
                      <w:lang w:bidi="ar"/>
                    </w:rPr>
                    <w:t>，最优参数下，提高燃烧效率。</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减排：烧结机</w:t>
                  </w:r>
                  <w:r>
                    <w:rPr>
                      <w:rStyle w:val="font11"/>
                      <w:rFonts w:eastAsia="楷体"/>
                      <w:color w:val="auto"/>
                      <w:sz w:val="21"/>
                      <w:szCs w:val="21"/>
                      <w:lang w:bidi="ar"/>
                    </w:rPr>
                    <w:t>CO</w:t>
                  </w:r>
                  <w:r>
                    <w:rPr>
                      <w:rStyle w:val="font41"/>
                      <w:rFonts w:ascii="Times New Roman" w:eastAsia="楷体" w:hAnsi="Times New Roman" w:cs="Times New Roman" w:hint="default"/>
                      <w:color w:val="auto"/>
                      <w:sz w:val="21"/>
                      <w:szCs w:val="21"/>
                      <w:lang w:bidi="ar"/>
                    </w:rPr>
                    <w:t>排放浓度小于</w:t>
                  </w:r>
                  <w:r>
                    <w:rPr>
                      <w:rStyle w:val="font11"/>
                      <w:rFonts w:eastAsia="楷体"/>
                      <w:color w:val="auto"/>
                      <w:sz w:val="21"/>
                      <w:szCs w:val="21"/>
                      <w:lang w:bidi="ar"/>
                    </w:rPr>
                    <w:t>3500mg/m</w:t>
                  </w:r>
                  <w:r>
                    <w:rPr>
                      <w:rStyle w:val="font11"/>
                      <w:rFonts w:eastAsia="楷体"/>
                      <w:color w:val="auto"/>
                      <w:sz w:val="21"/>
                      <w:szCs w:val="21"/>
                      <w:vertAlign w:val="superscript"/>
                      <w:lang w:bidi="ar"/>
                    </w:rPr>
                    <w:t>3</w:t>
                  </w:r>
                </w:p>
              </w:tc>
            </w:tr>
            <w:tr w:rsidR="00C72DBD">
              <w:trPr>
                <w:trHeight w:val="170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7</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活性焦脱硫脱硝一体化改造</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所有烧结机配套活性焦脱硝脱硝一体化，其中</w:t>
                  </w:r>
                  <w:r>
                    <w:rPr>
                      <w:rStyle w:val="font11"/>
                      <w:rFonts w:eastAsia="楷体"/>
                      <w:color w:val="auto"/>
                      <w:sz w:val="21"/>
                      <w:szCs w:val="21"/>
                      <w:lang w:bidi="ar"/>
                    </w:rPr>
                    <w:t>SO</w:t>
                  </w:r>
                  <w:r>
                    <w:rPr>
                      <w:rStyle w:val="font11"/>
                      <w:rFonts w:eastAsia="楷体"/>
                      <w:color w:val="auto"/>
                      <w:sz w:val="21"/>
                      <w:szCs w:val="21"/>
                      <w:vertAlign w:val="subscript"/>
                      <w:lang w:bidi="ar"/>
                    </w:rPr>
                    <w:t>2</w:t>
                  </w:r>
                  <w:r>
                    <w:rPr>
                      <w:rStyle w:val="font41"/>
                      <w:rFonts w:ascii="Times New Roman" w:eastAsia="楷体" w:hAnsi="Times New Roman" w:cs="Times New Roman" w:hint="default"/>
                      <w:color w:val="auto"/>
                      <w:sz w:val="21"/>
                      <w:szCs w:val="21"/>
                      <w:lang w:bidi="ar"/>
                    </w:rPr>
                    <w:t>被转化成硫酸，实现资源综合利用，</w:t>
                  </w:r>
                  <w:r>
                    <w:rPr>
                      <w:rStyle w:val="font11"/>
                      <w:rFonts w:eastAsia="楷体"/>
                      <w:color w:val="auto"/>
                      <w:sz w:val="21"/>
                      <w:szCs w:val="21"/>
                      <w:lang w:bidi="ar"/>
                    </w:rPr>
                    <w:t>NOx</w:t>
                  </w:r>
                  <w:r>
                    <w:rPr>
                      <w:rStyle w:val="font41"/>
                      <w:rFonts w:ascii="Times New Roman" w:eastAsia="楷体" w:hAnsi="Times New Roman" w:cs="Times New Roman" w:hint="default"/>
                      <w:color w:val="auto"/>
                      <w:sz w:val="21"/>
                      <w:szCs w:val="21"/>
                      <w:lang w:bidi="ar"/>
                    </w:rPr>
                    <w:t>转化为水和氮气，无二次污染，同时，该设施可去除氟化物、铅及化合物、二噁英等有害物质。</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w:t>
                  </w:r>
                  <w:r>
                    <w:rPr>
                      <w:rStyle w:val="font11"/>
                      <w:rFonts w:eastAsia="楷体"/>
                      <w:color w:val="auto"/>
                      <w:sz w:val="21"/>
                      <w:szCs w:val="21"/>
                      <w:lang w:bidi="ar"/>
                    </w:rPr>
                    <w:t>SO</w:t>
                  </w:r>
                  <w:r>
                    <w:rPr>
                      <w:rStyle w:val="font11"/>
                      <w:rFonts w:eastAsia="楷体"/>
                      <w:color w:val="auto"/>
                      <w:sz w:val="21"/>
                      <w:szCs w:val="21"/>
                      <w:vertAlign w:val="subscript"/>
                      <w:lang w:bidi="ar"/>
                    </w:rPr>
                    <w:t>2</w:t>
                  </w:r>
                  <w:r>
                    <w:rPr>
                      <w:rStyle w:val="font41"/>
                      <w:rFonts w:ascii="Times New Roman" w:eastAsia="楷体" w:hAnsi="Times New Roman" w:cs="Times New Roman" w:hint="default"/>
                      <w:color w:val="auto"/>
                      <w:sz w:val="21"/>
                      <w:szCs w:val="21"/>
                      <w:lang w:bidi="ar"/>
                    </w:rPr>
                    <w:t>去除率大于</w:t>
                  </w:r>
                  <w:r>
                    <w:rPr>
                      <w:rStyle w:val="font11"/>
                      <w:rFonts w:eastAsia="楷体"/>
                      <w:color w:val="auto"/>
                      <w:sz w:val="21"/>
                      <w:szCs w:val="21"/>
                      <w:lang w:bidi="ar"/>
                    </w:rPr>
                    <w:t>99%</w:t>
                  </w:r>
                  <w:r>
                    <w:rPr>
                      <w:rStyle w:val="font41"/>
                      <w:rFonts w:ascii="Times New Roman" w:eastAsia="楷体" w:hAnsi="Times New Roman" w:cs="Times New Roman" w:hint="default"/>
                      <w:color w:val="auto"/>
                      <w:sz w:val="21"/>
                      <w:szCs w:val="21"/>
                      <w:lang w:bidi="ar"/>
                    </w:rPr>
                    <w:t>，</w:t>
                  </w:r>
                  <w:r>
                    <w:rPr>
                      <w:rStyle w:val="font11"/>
                      <w:rFonts w:eastAsia="楷体"/>
                      <w:color w:val="auto"/>
                      <w:sz w:val="21"/>
                      <w:szCs w:val="21"/>
                      <w:lang w:bidi="ar"/>
                    </w:rPr>
                    <w:t>NOx</w:t>
                  </w:r>
                  <w:r>
                    <w:rPr>
                      <w:rStyle w:val="font41"/>
                      <w:rFonts w:ascii="Times New Roman" w:eastAsia="楷体" w:hAnsi="Times New Roman" w:cs="Times New Roman" w:hint="default"/>
                      <w:color w:val="auto"/>
                      <w:sz w:val="21"/>
                      <w:szCs w:val="21"/>
                      <w:lang w:bidi="ar"/>
                    </w:rPr>
                    <w:t>去除率大于</w:t>
                  </w:r>
                  <w:r>
                    <w:rPr>
                      <w:rStyle w:val="font11"/>
                      <w:rFonts w:eastAsia="楷体"/>
                      <w:color w:val="auto"/>
                      <w:sz w:val="21"/>
                      <w:szCs w:val="21"/>
                      <w:lang w:bidi="ar"/>
                    </w:rPr>
                    <w:t>75%</w:t>
                  </w:r>
                  <w:r>
                    <w:rPr>
                      <w:rStyle w:val="font41"/>
                      <w:rFonts w:ascii="Times New Roman" w:eastAsia="楷体" w:hAnsi="Times New Roman" w:cs="Times New Roman" w:hint="default"/>
                      <w:color w:val="auto"/>
                      <w:sz w:val="21"/>
                      <w:szCs w:val="21"/>
                      <w:lang w:bidi="ar"/>
                    </w:rPr>
                    <w:t>。大幅降低污染物排放量。</w:t>
                  </w:r>
                </w:p>
              </w:tc>
            </w:tr>
            <w:tr w:rsidR="00C72DBD">
              <w:trPr>
                <w:trHeight w:val="77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8</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烧结机尾除尘提标改造</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采用电袋复合除尘设施，有效降低机尾颗粒物排放。</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w:t>
                  </w:r>
                  <w:r>
                    <w:rPr>
                      <w:rStyle w:val="font11"/>
                      <w:rFonts w:eastAsia="楷体"/>
                      <w:color w:val="auto"/>
                      <w:sz w:val="21"/>
                      <w:szCs w:val="21"/>
                      <w:lang w:bidi="ar"/>
                    </w:rPr>
                    <w:t>PM</w:t>
                  </w:r>
                  <w:r>
                    <w:rPr>
                      <w:rStyle w:val="font41"/>
                      <w:rFonts w:ascii="Times New Roman" w:eastAsia="楷体" w:hAnsi="Times New Roman" w:cs="Times New Roman" w:hint="default"/>
                      <w:color w:val="auto"/>
                      <w:sz w:val="21"/>
                      <w:szCs w:val="21"/>
                      <w:lang w:bidi="ar"/>
                    </w:rPr>
                    <w:t>去除率大于</w:t>
                  </w:r>
                  <w:r>
                    <w:rPr>
                      <w:rStyle w:val="font11"/>
                      <w:rFonts w:eastAsia="楷体"/>
                      <w:color w:val="auto"/>
                      <w:sz w:val="21"/>
                      <w:szCs w:val="21"/>
                      <w:lang w:bidi="ar"/>
                    </w:rPr>
                    <w:t>99%</w:t>
                  </w:r>
                  <w:r>
                    <w:rPr>
                      <w:rStyle w:val="font41"/>
                      <w:rFonts w:ascii="Times New Roman" w:eastAsia="楷体" w:hAnsi="Times New Roman" w:cs="Times New Roman" w:hint="default"/>
                      <w:color w:val="auto"/>
                      <w:sz w:val="21"/>
                      <w:szCs w:val="21"/>
                      <w:lang w:bidi="ar"/>
                    </w:rPr>
                    <w:t>。</w:t>
                  </w:r>
                </w:p>
              </w:tc>
            </w:tr>
            <w:tr w:rsidR="00C72DBD">
              <w:trPr>
                <w:trHeight w:val="86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9</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烧结环冷机柔性水密封改造</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采用上下水</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柔性密封方式，有效杜绝环冷机无组织外排。</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减排：大幅降低无组织外排</w:t>
                  </w:r>
                </w:p>
              </w:tc>
            </w:tr>
            <w:tr w:rsidR="00C72DBD">
              <w:trPr>
                <w:trHeight w:val="102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10</w:t>
                  </w:r>
                </w:p>
              </w:tc>
              <w:tc>
                <w:tcPr>
                  <w:tcW w:w="600" w:type="dxa"/>
                  <w:vMerge/>
                  <w:tcBorders>
                    <w:left w:val="single" w:sz="4" w:space="0" w:color="000000"/>
                    <w:bottom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烧结混料、白灰消化创新除尘改造</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将混料湿度较大区域采用环冷机余热预处理，采用塑烧板和袋式除尘处理，确保运行稳定和除尘效果</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w:t>
                  </w:r>
                  <w:r>
                    <w:rPr>
                      <w:rStyle w:val="font11"/>
                      <w:rFonts w:eastAsia="楷体"/>
                      <w:color w:val="auto"/>
                      <w:sz w:val="21"/>
                      <w:szCs w:val="21"/>
                      <w:lang w:bidi="ar"/>
                    </w:rPr>
                    <w:t>PM</w:t>
                  </w:r>
                  <w:r>
                    <w:rPr>
                      <w:rStyle w:val="font41"/>
                      <w:rFonts w:ascii="Times New Roman" w:eastAsia="楷体" w:hAnsi="Times New Roman" w:cs="Times New Roman" w:hint="default"/>
                      <w:color w:val="auto"/>
                      <w:sz w:val="21"/>
                      <w:szCs w:val="21"/>
                      <w:lang w:bidi="ar"/>
                    </w:rPr>
                    <w:t>去除率大于</w:t>
                  </w:r>
                  <w:r>
                    <w:rPr>
                      <w:rStyle w:val="font11"/>
                      <w:rFonts w:eastAsia="楷体"/>
                      <w:color w:val="auto"/>
                      <w:sz w:val="21"/>
                      <w:szCs w:val="21"/>
                      <w:lang w:bidi="ar"/>
                    </w:rPr>
                    <w:t>99%</w:t>
                  </w:r>
                  <w:r>
                    <w:rPr>
                      <w:rStyle w:val="font41"/>
                      <w:rFonts w:ascii="Times New Roman" w:eastAsia="楷体" w:hAnsi="Times New Roman" w:cs="Times New Roman" w:hint="default"/>
                      <w:color w:val="auto"/>
                      <w:sz w:val="21"/>
                      <w:szCs w:val="21"/>
                      <w:lang w:bidi="ar"/>
                    </w:rPr>
                    <w:t>。</w:t>
                  </w:r>
                </w:p>
              </w:tc>
            </w:tr>
            <w:tr w:rsidR="00C72DBD">
              <w:trPr>
                <w:trHeight w:val="102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11</w:t>
                  </w:r>
                </w:p>
              </w:tc>
              <w:tc>
                <w:tcPr>
                  <w:tcW w:w="600" w:type="dxa"/>
                  <w:vMerge w:val="restart"/>
                  <w:tcBorders>
                    <w:top w:val="single" w:sz="4" w:space="0" w:color="000000"/>
                    <w:left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球团</w:t>
                  </w: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永磁直驱电机改造</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球磨机、造球盘等采用永磁直驱电机替换原有三相异步电机加减速机驱动，取消减速机、降低损耗、提高电机效率。</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节能：节电量约</w:t>
                  </w:r>
                  <w:r>
                    <w:rPr>
                      <w:rStyle w:val="font11"/>
                      <w:rFonts w:eastAsia="楷体"/>
                      <w:color w:val="auto"/>
                      <w:sz w:val="21"/>
                      <w:szCs w:val="21"/>
                      <w:lang w:bidi="ar"/>
                    </w:rPr>
                    <w:t>114kWh/</w:t>
                  </w:r>
                  <w:r>
                    <w:rPr>
                      <w:rStyle w:val="font41"/>
                      <w:rFonts w:ascii="Times New Roman" w:eastAsia="楷体" w:hAnsi="Times New Roman" w:cs="Times New Roman" w:hint="default"/>
                      <w:color w:val="auto"/>
                      <w:sz w:val="21"/>
                      <w:szCs w:val="21"/>
                      <w:lang w:bidi="ar"/>
                    </w:rPr>
                    <w:t>年，节能量</w:t>
                  </w:r>
                  <w:r>
                    <w:rPr>
                      <w:rStyle w:val="font11"/>
                      <w:rFonts w:eastAsia="楷体"/>
                      <w:color w:val="auto"/>
                      <w:sz w:val="21"/>
                      <w:szCs w:val="21"/>
                      <w:lang w:bidi="ar"/>
                    </w:rPr>
                    <w:t>140.68</w:t>
                  </w:r>
                  <w:r>
                    <w:rPr>
                      <w:rStyle w:val="font41"/>
                      <w:rFonts w:ascii="Times New Roman" w:eastAsia="楷体" w:hAnsi="Times New Roman" w:cs="Times New Roman" w:hint="default"/>
                      <w:color w:val="auto"/>
                      <w:sz w:val="21"/>
                      <w:szCs w:val="21"/>
                      <w:lang w:bidi="ar"/>
                    </w:rPr>
                    <w:t>吨标煤</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r>
                    <w:rPr>
                      <w:rStyle w:val="font11"/>
                      <w:rFonts w:eastAsia="楷体"/>
                      <w:color w:val="auto"/>
                      <w:sz w:val="21"/>
                      <w:szCs w:val="21"/>
                      <w:lang w:bidi="ar"/>
                    </w:rPr>
                    <w:br/>
                  </w:r>
                  <w:r>
                    <w:rPr>
                      <w:rStyle w:val="font41"/>
                      <w:rFonts w:ascii="Times New Roman" w:eastAsia="楷体" w:hAnsi="Times New Roman" w:cs="Times New Roman" w:hint="default"/>
                      <w:color w:val="auto"/>
                      <w:sz w:val="21"/>
                      <w:szCs w:val="21"/>
                      <w:lang w:bidi="ar"/>
                    </w:rPr>
                    <w:t>增效：经济效益</w:t>
                  </w:r>
                  <w:r>
                    <w:rPr>
                      <w:rStyle w:val="font11"/>
                      <w:rFonts w:eastAsia="楷体"/>
                      <w:color w:val="auto"/>
                      <w:sz w:val="21"/>
                      <w:szCs w:val="21"/>
                      <w:lang w:bidi="ar"/>
                    </w:rPr>
                    <w:t>69</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p>
              </w:tc>
            </w:tr>
            <w:tr w:rsidR="00C72DBD">
              <w:trPr>
                <w:trHeight w:val="108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12</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球团造球工序水系统改造</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新增水输送管道，实现造球用水由新水改为使用中水和炼钢红泥水。</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节能：节新水量约</w:t>
                  </w:r>
                  <w:r>
                    <w:rPr>
                      <w:rStyle w:val="font11"/>
                      <w:rFonts w:eastAsia="楷体"/>
                      <w:color w:val="auto"/>
                      <w:sz w:val="21"/>
                      <w:szCs w:val="21"/>
                      <w:lang w:bidi="ar"/>
                    </w:rPr>
                    <w:t>3.5</w:t>
                  </w:r>
                  <w:r>
                    <w:rPr>
                      <w:rStyle w:val="font41"/>
                      <w:rFonts w:ascii="Times New Roman" w:eastAsia="楷体" w:hAnsi="Times New Roman" w:cs="Times New Roman" w:hint="default"/>
                      <w:color w:val="auto"/>
                      <w:sz w:val="21"/>
                      <w:szCs w:val="21"/>
                      <w:lang w:bidi="ar"/>
                    </w:rPr>
                    <w:t>万吨</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年，节能量</w:t>
                  </w:r>
                  <w:r>
                    <w:rPr>
                      <w:rStyle w:val="font11"/>
                      <w:rFonts w:eastAsia="楷体"/>
                      <w:color w:val="auto"/>
                      <w:sz w:val="21"/>
                      <w:szCs w:val="21"/>
                      <w:lang w:bidi="ar"/>
                    </w:rPr>
                    <w:t>6</w:t>
                  </w:r>
                  <w:r>
                    <w:rPr>
                      <w:rStyle w:val="font41"/>
                      <w:rFonts w:ascii="Times New Roman" w:eastAsia="楷体" w:hAnsi="Times New Roman" w:cs="Times New Roman" w:hint="default"/>
                      <w:color w:val="auto"/>
                      <w:sz w:val="21"/>
                      <w:szCs w:val="21"/>
                      <w:lang w:bidi="ar"/>
                    </w:rPr>
                    <w:t>吨标煤</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r>
                    <w:rPr>
                      <w:rStyle w:val="font11"/>
                      <w:rFonts w:eastAsia="楷体"/>
                      <w:color w:val="auto"/>
                      <w:sz w:val="21"/>
                      <w:szCs w:val="21"/>
                      <w:lang w:bidi="ar"/>
                    </w:rPr>
                    <w:br/>
                  </w:r>
                  <w:r>
                    <w:rPr>
                      <w:rStyle w:val="font41"/>
                      <w:rFonts w:ascii="Times New Roman" w:eastAsia="楷体" w:hAnsi="Times New Roman" w:cs="Times New Roman" w:hint="default"/>
                      <w:color w:val="auto"/>
                      <w:sz w:val="21"/>
                      <w:szCs w:val="21"/>
                      <w:lang w:bidi="ar"/>
                    </w:rPr>
                    <w:t>增效：经济效益</w:t>
                  </w:r>
                  <w:r>
                    <w:rPr>
                      <w:rStyle w:val="font11"/>
                      <w:rFonts w:eastAsia="楷体"/>
                      <w:color w:val="auto"/>
                      <w:sz w:val="21"/>
                      <w:szCs w:val="21"/>
                      <w:lang w:bidi="ar"/>
                    </w:rPr>
                    <w:t>7.4</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p>
              </w:tc>
            </w:tr>
            <w:tr w:rsidR="00C72DBD">
              <w:trPr>
                <w:trHeight w:val="122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13</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球团</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链篦机烟气循环改造</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增设烟气循环系统，利用高温废气的余热，减少了</w:t>
                  </w:r>
                  <w:r>
                    <w:rPr>
                      <w:rStyle w:val="font11"/>
                      <w:rFonts w:eastAsia="楷体"/>
                      <w:color w:val="auto"/>
                      <w:sz w:val="21"/>
                      <w:szCs w:val="21"/>
                      <w:lang w:bidi="ar"/>
                    </w:rPr>
                    <w:t>CO</w:t>
                  </w:r>
                  <w:r>
                    <w:rPr>
                      <w:rStyle w:val="font41"/>
                      <w:rFonts w:ascii="Times New Roman" w:eastAsia="楷体" w:hAnsi="Times New Roman" w:cs="Times New Roman" w:hint="default"/>
                      <w:color w:val="auto"/>
                      <w:sz w:val="21"/>
                      <w:szCs w:val="21"/>
                      <w:lang w:bidi="ar"/>
                    </w:rPr>
                    <w:t>的排放，同时也降低煤气消耗。</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增效：经济效益</w:t>
                  </w:r>
                  <w:r>
                    <w:rPr>
                      <w:rStyle w:val="font11"/>
                      <w:rFonts w:eastAsia="楷体"/>
                      <w:color w:val="auto"/>
                      <w:sz w:val="21"/>
                      <w:szCs w:val="21"/>
                      <w:lang w:bidi="ar"/>
                    </w:rPr>
                    <w:t>562.2</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r>
                    <w:rPr>
                      <w:rStyle w:val="font11"/>
                      <w:rFonts w:eastAsia="楷体"/>
                      <w:color w:val="auto"/>
                      <w:sz w:val="21"/>
                      <w:szCs w:val="21"/>
                      <w:lang w:bidi="ar"/>
                    </w:rPr>
                    <w:br/>
                  </w:r>
                  <w:r>
                    <w:rPr>
                      <w:rStyle w:val="font41"/>
                      <w:rFonts w:ascii="Times New Roman" w:eastAsia="楷体" w:hAnsi="Times New Roman" w:cs="Times New Roman" w:hint="default"/>
                      <w:color w:val="auto"/>
                      <w:sz w:val="21"/>
                      <w:szCs w:val="21"/>
                      <w:lang w:bidi="ar"/>
                    </w:rPr>
                    <w:t>减排：</w:t>
                  </w:r>
                  <w:r>
                    <w:rPr>
                      <w:rStyle w:val="font11"/>
                      <w:rFonts w:eastAsia="楷体"/>
                      <w:color w:val="auto"/>
                      <w:sz w:val="21"/>
                      <w:szCs w:val="21"/>
                      <w:lang w:bidi="ar"/>
                    </w:rPr>
                    <w:t>CO</w:t>
                  </w:r>
                  <w:r>
                    <w:rPr>
                      <w:rStyle w:val="font41"/>
                      <w:rFonts w:ascii="Times New Roman" w:eastAsia="楷体" w:hAnsi="Times New Roman" w:cs="Times New Roman" w:hint="default"/>
                      <w:color w:val="auto"/>
                      <w:sz w:val="21"/>
                      <w:szCs w:val="21"/>
                      <w:lang w:bidi="ar"/>
                    </w:rPr>
                    <w:t>排放浓度低于</w:t>
                  </w:r>
                  <w:r>
                    <w:rPr>
                      <w:rStyle w:val="font11"/>
                      <w:rFonts w:eastAsia="楷体"/>
                      <w:color w:val="auto"/>
                      <w:sz w:val="21"/>
                      <w:szCs w:val="21"/>
                      <w:lang w:bidi="ar"/>
                    </w:rPr>
                    <w:t>200mg/m</w:t>
                  </w:r>
                  <w:r>
                    <w:rPr>
                      <w:rStyle w:val="font11"/>
                      <w:rFonts w:eastAsia="楷体"/>
                      <w:color w:val="auto"/>
                      <w:sz w:val="21"/>
                      <w:szCs w:val="21"/>
                      <w:vertAlign w:val="superscript"/>
                      <w:lang w:bidi="ar"/>
                    </w:rPr>
                    <w:t>3</w:t>
                  </w:r>
                </w:p>
              </w:tc>
            </w:tr>
            <w:tr w:rsidR="00C72DBD">
              <w:trPr>
                <w:trHeight w:val="85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14</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球团皮带二次密封项目</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在原有皮带封闭基础上，增设二次高标准钢板密封，降低无组织排放。</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减排：大幅降低无组织外排</w:t>
                  </w:r>
                </w:p>
              </w:tc>
            </w:tr>
            <w:tr w:rsidR="00C72DBD">
              <w:trPr>
                <w:trHeight w:val="1165"/>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15</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球团低氮燃烧优化改造</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改造低</w:t>
                  </w:r>
                  <w:r>
                    <w:rPr>
                      <w:rStyle w:val="font11"/>
                      <w:rFonts w:eastAsia="楷体"/>
                      <w:color w:val="auto"/>
                      <w:sz w:val="21"/>
                      <w:szCs w:val="21"/>
                      <w:lang w:bidi="ar"/>
                    </w:rPr>
                    <w:t>NOx</w:t>
                  </w:r>
                  <w:r>
                    <w:rPr>
                      <w:rStyle w:val="font41"/>
                      <w:rFonts w:ascii="Times New Roman" w:eastAsia="楷体" w:hAnsi="Times New Roman" w:cs="Times New Roman" w:hint="default"/>
                      <w:color w:val="auto"/>
                      <w:sz w:val="21"/>
                      <w:szCs w:val="21"/>
                      <w:lang w:bidi="ar"/>
                    </w:rPr>
                    <w:t>烧嘴和高温智能烟气分析系统，延长火焰长度、防止煤气集中燃烧。</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减排：大幅降低</w:t>
                  </w:r>
                  <w:r>
                    <w:rPr>
                      <w:rStyle w:val="font11"/>
                      <w:rFonts w:eastAsia="楷体"/>
                      <w:color w:val="auto"/>
                      <w:sz w:val="21"/>
                      <w:szCs w:val="21"/>
                      <w:lang w:bidi="ar"/>
                    </w:rPr>
                    <w:t>NOx</w:t>
                  </w:r>
                  <w:r>
                    <w:rPr>
                      <w:rStyle w:val="font41"/>
                      <w:rFonts w:ascii="Times New Roman" w:eastAsia="楷体" w:hAnsi="Times New Roman" w:cs="Times New Roman" w:hint="default"/>
                      <w:color w:val="auto"/>
                      <w:sz w:val="21"/>
                      <w:szCs w:val="21"/>
                      <w:lang w:bidi="ar"/>
                    </w:rPr>
                    <w:t>浓度，稳定满足超低排放限值要求</w:t>
                  </w:r>
                </w:p>
              </w:tc>
            </w:tr>
            <w:tr w:rsidR="00C72DBD">
              <w:trPr>
                <w:trHeight w:val="1134"/>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16</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球团自动优化烧炉技术改造</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增设智能控制系统，实现优化烧炉自控率达到</w:t>
                  </w:r>
                  <w:r>
                    <w:rPr>
                      <w:rStyle w:val="font11"/>
                      <w:rFonts w:eastAsia="楷体"/>
                      <w:color w:val="auto"/>
                      <w:sz w:val="21"/>
                      <w:szCs w:val="21"/>
                      <w:lang w:bidi="ar"/>
                    </w:rPr>
                    <w:t>90%</w:t>
                  </w:r>
                  <w:r>
                    <w:rPr>
                      <w:rStyle w:val="font41"/>
                      <w:rFonts w:ascii="Times New Roman" w:eastAsia="楷体" w:hAnsi="Times New Roman" w:cs="Times New Roman" w:hint="default"/>
                      <w:color w:val="auto"/>
                      <w:sz w:val="21"/>
                      <w:szCs w:val="21"/>
                      <w:lang w:bidi="ar"/>
                    </w:rPr>
                    <w:t>以上，改善球团转窑加热质量，提高煤气利用效率。</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减排：大幅降低</w:t>
                  </w:r>
                  <w:r>
                    <w:rPr>
                      <w:rStyle w:val="font11"/>
                      <w:rFonts w:eastAsia="楷体"/>
                      <w:color w:val="auto"/>
                      <w:sz w:val="21"/>
                      <w:szCs w:val="21"/>
                      <w:lang w:bidi="ar"/>
                    </w:rPr>
                    <w:t>NOx</w:t>
                  </w:r>
                  <w:r>
                    <w:rPr>
                      <w:rStyle w:val="font41"/>
                      <w:rFonts w:ascii="Times New Roman" w:eastAsia="楷体" w:hAnsi="Times New Roman" w:cs="Times New Roman" w:hint="default"/>
                      <w:color w:val="auto"/>
                      <w:sz w:val="21"/>
                      <w:szCs w:val="21"/>
                      <w:lang w:bidi="ar"/>
                    </w:rPr>
                    <w:t>浓度，稳定满足超低排放限值要求</w:t>
                  </w:r>
                </w:p>
              </w:tc>
            </w:tr>
            <w:tr w:rsidR="00C72DBD">
              <w:trPr>
                <w:trHeight w:val="1134"/>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17</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球团高效除尘</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脱硫系统</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采用静电除尘</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石灰石膏法脱硫</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湿电等多级处理措施，保障球团窑头排放限值稳定满足超低排放。</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w:t>
                  </w:r>
                  <w:r>
                    <w:rPr>
                      <w:rStyle w:val="font11"/>
                      <w:rFonts w:eastAsia="楷体"/>
                      <w:color w:val="auto"/>
                      <w:sz w:val="21"/>
                      <w:szCs w:val="21"/>
                      <w:lang w:bidi="ar"/>
                    </w:rPr>
                    <w:t>PM</w:t>
                  </w:r>
                  <w:r>
                    <w:rPr>
                      <w:rStyle w:val="font41"/>
                      <w:rFonts w:ascii="Times New Roman" w:eastAsia="楷体" w:hAnsi="Times New Roman" w:cs="Times New Roman" w:hint="default"/>
                      <w:color w:val="auto"/>
                      <w:sz w:val="21"/>
                      <w:szCs w:val="21"/>
                      <w:lang w:bidi="ar"/>
                    </w:rPr>
                    <w:t>去除率大于</w:t>
                  </w:r>
                  <w:r>
                    <w:rPr>
                      <w:rStyle w:val="font11"/>
                      <w:rFonts w:eastAsia="楷体"/>
                      <w:color w:val="auto"/>
                      <w:sz w:val="21"/>
                      <w:szCs w:val="21"/>
                      <w:lang w:bidi="ar"/>
                    </w:rPr>
                    <w:t>99%</w:t>
                  </w:r>
                  <w:r>
                    <w:rPr>
                      <w:rStyle w:val="font41"/>
                      <w:rFonts w:ascii="Times New Roman" w:eastAsia="楷体" w:hAnsi="Times New Roman" w:cs="Times New Roman" w:hint="default"/>
                      <w:color w:val="auto"/>
                      <w:sz w:val="21"/>
                      <w:szCs w:val="21"/>
                      <w:lang w:bidi="ar"/>
                    </w:rPr>
                    <w:t>、</w:t>
                  </w:r>
                  <w:r>
                    <w:rPr>
                      <w:rStyle w:val="font11"/>
                      <w:rFonts w:eastAsia="楷体"/>
                      <w:color w:val="auto"/>
                      <w:sz w:val="21"/>
                      <w:szCs w:val="21"/>
                      <w:lang w:bidi="ar"/>
                    </w:rPr>
                    <w:t>SO</w:t>
                  </w:r>
                  <w:r>
                    <w:rPr>
                      <w:rStyle w:val="font11"/>
                      <w:rFonts w:eastAsia="楷体"/>
                      <w:color w:val="auto"/>
                      <w:sz w:val="21"/>
                      <w:szCs w:val="21"/>
                      <w:vertAlign w:val="subscript"/>
                      <w:lang w:bidi="ar"/>
                    </w:rPr>
                    <w:t>2</w:t>
                  </w:r>
                  <w:r>
                    <w:rPr>
                      <w:rStyle w:val="font41"/>
                      <w:rFonts w:ascii="Times New Roman" w:eastAsia="楷体" w:hAnsi="Times New Roman" w:cs="Times New Roman" w:hint="default"/>
                      <w:color w:val="auto"/>
                      <w:sz w:val="21"/>
                      <w:szCs w:val="21"/>
                      <w:lang w:bidi="ar"/>
                    </w:rPr>
                    <w:t>去除率大于</w:t>
                  </w:r>
                  <w:r>
                    <w:rPr>
                      <w:rStyle w:val="font11"/>
                      <w:rFonts w:eastAsia="楷体"/>
                      <w:color w:val="auto"/>
                      <w:sz w:val="21"/>
                      <w:szCs w:val="21"/>
                      <w:lang w:bidi="ar"/>
                    </w:rPr>
                    <w:t>98%</w:t>
                  </w:r>
                  <w:r>
                    <w:rPr>
                      <w:rStyle w:val="font41"/>
                      <w:rFonts w:ascii="Times New Roman" w:eastAsia="楷体" w:hAnsi="Times New Roman" w:cs="Times New Roman" w:hint="default"/>
                      <w:color w:val="auto"/>
                      <w:sz w:val="21"/>
                      <w:szCs w:val="21"/>
                      <w:lang w:bidi="ar"/>
                    </w:rPr>
                    <w:t>，稳定满足超低排放限值要求</w:t>
                  </w:r>
                </w:p>
              </w:tc>
            </w:tr>
            <w:tr w:rsidR="00C72DBD">
              <w:trPr>
                <w:trHeight w:val="110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18</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球团脱硫提标优化改造</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增加喷淋层，提高脱硫效率，增设自动控制系统，实时监控各项技术参数</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w:t>
                  </w:r>
                  <w:r>
                    <w:rPr>
                      <w:rStyle w:val="font11"/>
                      <w:rFonts w:eastAsia="楷体"/>
                      <w:color w:val="auto"/>
                      <w:sz w:val="21"/>
                      <w:szCs w:val="21"/>
                      <w:lang w:bidi="ar"/>
                    </w:rPr>
                    <w:t>SO</w:t>
                  </w:r>
                  <w:r>
                    <w:rPr>
                      <w:rStyle w:val="font11"/>
                      <w:rFonts w:eastAsia="楷体"/>
                      <w:color w:val="auto"/>
                      <w:sz w:val="21"/>
                      <w:szCs w:val="21"/>
                      <w:vertAlign w:val="subscript"/>
                      <w:lang w:bidi="ar"/>
                    </w:rPr>
                    <w:t>2</w:t>
                  </w:r>
                  <w:r>
                    <w:rPr>
                      <w:rStyle w:val="font41"/>
                      <w:rFonts w:ascii="Times New Roman" w:eastAsia="楷体" w:hAnsi="Times New Roman" w:cs="Times New Roman" w:hint="default"/>
                      <w:color w:val="auto"/>
                      <w:sz w:val="21"/>
                      <w:szCs w:val="21"/>
                      <w:lang w:bidi="ar"/>
                    </w:rPr>
                    <w:t>去除率大于</w:t>
                  </w:r>
                  <w:r>
                    <w:rPr>
                      <w:rStyle w:val="font11"/>
                      <w:rFonts w:eastAsia="楷体"/>
                      <w:color w:val="auto"/>
                      <w:sz w:val="21"/>
                      <w:szCs w:val="21"/>
                      <w:lang w:bidi="ar"/>
                    </w:rPr>
                    <w:t>98%</w:t>
                  </w:r>
                  <w:r>
                    <w:rPr>
                      <w:rStyle w:val="font41"/>
                      <w:rFonts w:ascii="Times New Roman" w:eastAsia="楷体" w:hAnsi="Times New Roman" w:cs="Times New Roman" w:hint="default"/>
                      <w:color w:val="auto"/>
                      <w:sz w:val="21"/>
                      <w:szCs w:val="21"/>
                      <w:lang w:bidi="ar"/>
                    </w:rPr>
                    <w:t>，稳定满足超低排放限值要求</w:t>
                  </w:r>
                </w:p>
              </w:tc>
            </w:tr>
            <w:tr w:rsidR="00C72DBD">
              <w:trPr>
                <w:trHeight w:val="108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19</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球团转运除尘系统改造</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球团配料、环冷机、筛分等工序均配备高效布袋除尘器，加强封闭等，确保无可见粉尘我外逸。</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w:t>
                  </w:r>
                  <w:r>
                    <w:rPr>
                      <w:rStyle w:val="font11"/>
                      <w:rFonts w:eastAsia="楷体"/>
                      <w:color w:val="auto"/>
                      <w:sz w:val="21"/>
                      <w:szCs w:val="21"/>
                      <w:lang w:bidi="ar"/>
                    </w:rPr>
                    <w:t>PM</w:t>
                  </w:r>
                  <w:r>
                    <w:rPr>
                      <w:rStyle w:val="font41"/>
                      <w:rFonts w:ascii="Times New Roman" w:eastAsia="楷体" w:hAnsi="Times New Roman" w:cs="Times New Roman" w:hint="default"/>
                      <w:color w:val="auto"/>
                      <w:sz w:val="21"/>
                      <w:szCs w:val="21"/>
                      <w:lang w:bidi="ar"/>
                    </w:rPr>
                    <w:t>去除率大于</w:t>
                  </w:r>
                  <w:r>
                    <w:rPr>
                      <w:rStyle w:val="font11"/>
                      <w:rFonts w:eastAsia="楷体"/>
                      <w:color w:val="auto"/>
                      <w:sz w:val="21"/>
                      <w:szCs w:val="21"/>
                      <w:lang w:bidi="ar"/>
                    </w:rPr>
                    <w:t>99%</w:t>
                  </w:r>
                  <w:r>
                    <w:rPr>
                      <w:rStyle w:val="font41"/>
                      <w:rFonts w:ascii="Times New Roman" w:eastAsia="楷体" w:hAnsi="Times New Roman" w:cs="Times New Roman" w:hint="default"/>
                      <w:color w:val="auto"/>
                      <w:sz w:val="21"/>
                      <w:szCs w:val="21"/>
                      <w:lang w:bidi="ar"/>
                    </w:rPr>
                    <w:t>，大幅降低无组织外排</w:t>
                  </w:r>
                </w:p>
              </w:tc>
            </w:tr>
            <w:tr w:rsidR="00C72DBD">
              <w:trPr>
                <w:trHeight w:val="1134"/>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20</w:t>
                  </w:r>
                </w:p>
              </w:tc>
              <w:tc>
                <w:tcPr>
                  <w:tcW w:w="600" w:type="dxa"/>
                  <w:vMerge/>
                  <w:tcBorders>
                    <w:left w:val="single" w:sz="4" w:space="0" w:color="000000"/>
                    <w:bottom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球团润磨机、干燥环境除尘改造</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针对现场实际，球团润磨机、干燥采用塑烧板除尘器，高度契合除尘实际。</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w:t>
                  </w:r>
                  <w:r>
                    <w:rPr>
                      <w:rStyle w:val="font11"/>
                      <w:rFonts w:eastAsia="楷体"/>
                      <w:color w:val="auto"/>
                      <w:sz w:val="21"/>
                      <w:szCs w:val="21"/>
                      <w:lang w:bidi="ar"/>
                    </w:rPr>
                    <w:t>PM</w:t>
                  </w:r>
                  <w:r>
                    <w:rPr>
                      <w:rStyle w:val="font41"/>
                      <w:rFonts w:ascii="Times New Roman" w:eastAsia="楷体" w:hAnsi="Times New Roman" w:cs="Times New Roman" w:hint="default"/>
                      <w:color w:val="auto"/>
                      <w:sz w:val="21"/>
                      <w:szCs w:val="21"/>
                      <w:lang w:bidi="ar"/>
                    </w:rPr>
                    <w:t>去除率大于</w:t>
                  </w:r>
                  <w:r>
                    <w:rPr>
                      <w:rStyle w:val="font11"/>
                      <w:rFonts w:eastAsia="楷体"/>
                      <w:color w:val="auto"/>
                      <w:sz w:val="21"/>
                      <w:szCs w:val="21"/>
                      <w:lang w:bidi="ar"/>
                    </w:rPr>
                    <w:t>99%</w:t>
                  </w:r>
                  <w:r>
                    <w:rPr>
                      <w:rStyle w:val="font41"/>
                      <w:rFonts w:ascii="Times New Roman" w:eastAsia="楷体" w:hAnsi="Times New Roman" w:cs="Times New Roman" w:hint="default"/>
                      <w:color w:val="auto"/>
                      <w:sz w:val="21"/>
                      <w:szCs w:val="21"/>
                      <w:lang w:bidi="ar"/>
                    </w:rPr>
                    <w:t>，大幅降低无组织外排</w:t>
                  </w:r>
                </w:p>
              </w:tc>
            </w:tr>
            <w:tr w:rsidR="00C72DBD">
              <w:trPr>
                <w:trHeight w:val="108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21</w:t>
                  </w:r>
                </w:p>
              </w:tc>
              <w:tc>
                <w:tcPr>
                  <w:tcW w:w="600" w:type="dxa"/>
                  <w:vMerge w:val="restart"/>
                  <w:tcBorders>
                    <w:top w:val="single" w:sz="4" w:space="0" w:color="000000"/>
                    <w:left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焦化</w:t>
                  </w: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焦化全干熄焦发电技术</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焦化配套建设</w:t>
                  </w:r>
                  <w:r>
                    <w:rPr>
                      <w:rStyle w:val="font11"/>
                      <w:rFonts w:eastAsia="楷体"/>
                      <w:color w:val="auto"/>
                      <w:sz w:val="21"/>
                      <w:szCs w:val="21"/>
                      <w:lang w:bidi="ar"/>
                    </w:rPr>
                    <w:t>3</w:t>
                  </w:r>
                  <w:r>
                    <w:rPr>
                      <w:rStyle w:val="font41"/>
                      <w:rFonts w:ascii="Times New Roman" w:eastAsia="楷体" w:hAnsi="Times New Roman" w:cs="Times New Roman" w:hint="default"/>
                      <w:color w:val="auto"/>
                      <w:sz w:val="21"/>
                      <w:szCs w:val="21"/>
                      <w:lang w:bidi="ar"/>
                    </w:rPr>
                    <w:t>套全干熄系统、</w:t>
                  </w:r>
                  <w:r>
                    <w:rPr>
                      <w:rStyle w:val="font11"/>
                      <w:rFonts w:eastAsia="楷体"/>
                      <w:color w:val="auto"/>
                      <w:sz w:val="21"/>
                      <w:szCs w:val="21"/>
                      <w:lang w:bidi="ar"/>
                    </w:rPr>
                    <w:t>25MW</w:t>
                  </w:r>
                  <w:r>
                    <w:rPr>
                      <w:rStyle w:val="font41"/>
                      <w:rFonts w:ascii="Times New Roman" w:eastAsia="楷体" w:hAnsi="Times New Roman" w:cs="Times New Roman" w:hint="default"/>
                      <w:color w:val="auto"/>
                      <w:sz w:val="21"/>
                      <w:szCs w:val="21"/>
                      <w:lang w:bidi="ar"/>
                    </w:rPr>
                    <w:t>和</w:t>
                  </w:r>
                  <w:r>
                    <w:rPr>
                      <w:rStyle w:val="font11"/>
                      <w:rFonts w:eastAsia="楷体"/>
                      <w:color w:val="auto"/>
                      <w:sz w:val="21"/>
                      <w:szCs w:val="21"/>
                      <w:lang w:bidi="ar"/>
                    </w:rPr>
                    <w:t>15MW</w:t>
                  </w:r>
                  <w:r>
                    <w:rPr>
                      <w:rStyle w:val="font41"/>
                      <w:rFonts w:ascii="Times New Roman" w:eastAsia="楷体" w:hAnsi="Times New Roman" w:cs="Times New Roman" w:hint="default"/>
                      <w:color w:val="auto"/>
                      <w:sz w:val="21"/>
                      <w:szCs w:val="21"/>
                      <w:lang w:bidi="ar"/>
                    </w:rPr>
                    <w:t>共</w:t>
                  </w:r>
                  <w:r>
                    <w:rPr>
                      <w:rStyle w:val="font11"/>
                      <w:rFonts w:eastAsia="楷体"/>
                      <w:color w:val="auto"/>
                      <w:sz w:val="21"/>
                      <w:szCs w:val="21"/>
                      <w:lang w:bidi="ar"/>
                    </w:rPr>
                    <w:t>2</w:t>
                  </w:r>
                  <w:r>
                    <w:rPr>
                      <w:rStyle w:val="font41"/>
                      <w:rFonts w:ascii="Times New Roman" w:eastAsia="楷体" w:hAnsi="Times New Roman" w:cs="Times New Roman" w:hint="default"/>
                      <w:color w:val="auto"/>
                      <w:sz w:val="21"/>
                      <w:szCs w:val="21"/>
                      <w:lang w:bidi="ar"/>
                    </w:rPr>
                    <w:t>套高温高压发电机组，年发电量</w:t>
                  </w:r>
                  <w:r>
                    <w:rPr>
                      <w:rStyle w:val="font11"/>
                      <w:rFonts w:eastAsia="楷体"/>
                      <w:color w:val="auto"/>
                      <w:sz w:val="21"/>
                      <w:szCs w:val="21"/>
                      <w:lang w:bidi="ar"/>
                    </w:rPr>
                    <w:t>2.12</w:t>
                  </w:r>
                  <w:r>
                    <w:rPr>
                      <w:rStyle w:val="font41"/>
                      <w:rFonts w:ascii="Times New Roman" w:eastAsia="楷体" w:hAnsi="Times New Roman" w:cs="Times New Roman" w:hint="default"/>
                      <w:color w:val="auto"/>
                      <w:sz w:val="21"/>
                      <w:szCs w:val="21"/>
                      <w:lang w:bidi="ar"/>
                    </w:rPr>
                    <w:t>亿</w:t>
                  </w:r>
                  <w:r>
                    <w:rPr>
                      <w:rStyle w:val="font11"/>
                      <w:rFonts w:eastAsia="楷体"/>
                      <w:color w:val="auto"/>
                      <w:sz w:val="21"/>
                      <w:szCs w:val="21"/>
                      <w:lang w:bidi="ar"/>
                    </w:rPr>
                    <w:t>kWh</w:t>
                  </w:r>
                  <w:r>
                    <w:rPr>
                      <w:rStyle w:val="font41"/>
                      <w:rFonts w:ascii="Times New Roman" w:eastAsia="楷体" w:hAnsi="Times New Roman" w:cs="Times New Roman" w:hint="default"/>
                      <w:color w:val="auto"/>
                      <w:sz w:val="21"/>
                      <w:szCs w:val="21"/>
                      <w:lang w:bidi="ar"/>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节能：节能量</w:t>
                  </w:r>
                  <w:r>
                    <w:rPr>
                      <w:rStyle w:val="font11"/>
                      <w:rFonts w:eastAsia="楷体"/>
                      <w:color w:val="auto"/>
                      <w:sz w:val="21"/>
                      <w:szCs w:val="21"/>
                      <w:lang w:bidi="ar"/>
                    </w:rPr>
                    <w:t>8586</w:t>
                  </w:r>
                  <w:r>
                    <w:rPr>
                      <w:rStyle w:val="font41"/>
                      <w:rFonts w:ascii="Times New Roman" w:eastAsia="楷体" w:hAnsi="Times New Roman" w:cs="Times New Roman" w:hint="default"/>
                      <w:color w:val="auto"/>
                      <w:sz w:val="21"/>
                      <w:szCs w:val="21"/>
                      <w:lang w:bidi="ar"/>
                    </w:rPr>
                    <w:t>吨标煤</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r>
                    <w:rPr>
                      <w:rStyle w:val="font11"/>
                      <w:rFonts w:eastAsia="楷体"/>
                      <w:color w:val="auto"/>
                      <w:sz w:val="21"/>
                      <w:szCs w:val="21"/>
                      <w:lang w:bidi="ar"/>
                    </w:rPr>
                    <w:br/>
                  </w:r>
                  <w:r>
                    <w:rPr>
                      <w:rStyle w:val="font41"/>
                      <w:rFonts w:ascii="Times New Roman" w:eastAsia="楷体" w:hAnsi="Times New Roman" w:cs="Times New Roman" w:hint="default"/>
                      <w:color w:val="auto"/>
                      <w:sz w:val="21"/>
                      <w:szCs w:val="21"/>
                      <w:lang w:bidi="ar"/>
                    </w:rPr>
                    <w:t>增效：经济效益</w:t>
                  </w:r>
                  <w:r>
                    <w:rPr>
                      <w:rStyle w:val="font11"/>
                      <w:rFonts w:eastAsia="楷体"/>
                      <w:color w:val="auto"/>
                      <w:sz w:val="21"/>
                      <w:szCs w:val="21"/>
                      <w:lang w:bidi="ar"/>
                    </w:rPr>
                    <w:t>7621</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p>
              </w:tc>
            </w:tr>
            <w:tr w:rsidR="00C72DBD">
              <w:trPr>
                <w:trHeight w:val="166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22</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单孔炭化室压力调节技术</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焦炉采用先进的</w:t>
                  </w:r>
                  <w:r>
                    <w:rPr>
                      <w:rStyle w:val="font11"/>
                      <w:rFonts w:eastAsia="楷体"/>
                      <w:color w:val="auto"/>
                      <w:sz w:val="21"/>
                      <w:szCs w:val="21"/>
                      <w:lang w:bidi="ar"/>
                    </w:rPr>
                    <w:t>SOPRECO</w:t>
                  </w:r>
                  <w:r>
                    <w:rPr>
                      <w:rStyle w:val="font41"/>
                      <w:rFonts w:ascii="Times New Roman" w:eastAsia="楷体" w:hAnsi="Times New Roman" w:cs="Times New Roman" w:hint="default"/>
                      <w:color w:val="auto"/>
                      <w:sz w:val="21"/>
                      <w:szCs w:val="21"/>
                      <w:lang w:bidi="ar"/>
                    </w:rPr>
                    <w:t>单孔炭化室压力调节技术，单孔炭化室压力调节装置由安装在各炭化室桥管</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集气管系统的压力检测元件、气动执行机构和</w:t>
                  </w:r>
                  <w:r>
                    <w:rPr>
                      <w:rStyle w:val="font11"/>
                      <w:rFonts w:eastAsia="楷体"/>
                      <w:color w:val="auto"/>
                      <w:sz w:val="21"/>
                      <w:szCs w:val="21"/>
                      <w:lang w:bidi="ar"/>
                    </w:rPr>
                    <w:t>PLC</w:t>
                  </w:r>
                  <w:r>
                    <w:rPr>
                      <w:rStyle w:val="font41"/>
                      <w:rFonts w:ascii="Times New Roman" w:eastAsia="楷体" w:hAnsi="Times New Roman" w:cs="Times New Roman" w:hint="default"/>
                      <w:color w:val="auto"/>
                      <w:sz w:val="21"/>
                      <w:szCs w:val="21"/>
                      <w:lang w:bidi="ar"/>
                    </w:rPr>
                    <w:t>控制系统构成。</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减排：有效规避了无组织排放问题。避免了结焦初期因压力过高造成炉门冒烟、冒火，又防止结焦末期炭化室出现负压致使空气的窜入，烧损焦炭、损坏炉体。</w:t>
                  </w:r>
                </w:p>
              </w:tc>
            </w:tr>
            <w:tr w:rsidR="00C72DBD">
              <w:trPr>
                <w:trHeight w:val="1417"/>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23</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炉顶逸散废气加罩除尘技术</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焦炉炉顶设封闭罩，机侧与焦侧罩子在炉顶上方加挡板，焦炉炉体加罩除尘系统对焦炉封闭罩内的废烟气进行捕集处理。</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减排：大幅降低无组织外排</w:t>
                  </w:r>
                </w:p>
              </w:tc>
            </w:tr>
            <w:tr w:rsidR="00C72DBD">
              <w:trPr>
                <w:trHeight w:val="108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24</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焦炉协同脱硫脱硝技术</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采用</w:t>
                  </w:r>
                  <w:r>
                    <w:rPr>
                      <w:rStyle w:val="font11"/>
                      <w:rFonts w:eastAsia="楷体"/>
                      <w:color w:val="auto"/>
                      <w:sz w:val="21"/>
                      <w:szCs w:val="21"/>
                      <w:lang w:bidi="ar"/>
                    </w:rPr>
                    <w:t>“SDS</w:t>
                  </w:r>
                  <w:r>
                    <w:rPr>
                      <w:rStyle w:val="font41"/>
                      <w:rFonts w:ascii="Times New Roman" w:eastAsia="楷体" w:hAnsi="Times New Roman" w:cs="Times New Roman" w:hint="default"/>
                      <w:color w:val="auto"/>
                      <w:sz w:val="21"/>
                      <w:szCs w:val="21"/>
                      <w:lang w:bidi="ar"/>
                    </w:rPr>
                    <w:t>纳基干法脱硫＋布袋除尘＋低温</w:t>
                  </w:r>
                  <w:r>
                    <w:rPr>
                      <w:rStyle w:val="font11"/>
                      <w:rFonts w:eastAsia="楷体"/>
                      <w:color w:val="auto"/>
                      <w:sz w:val="21"/>
                      <w:szCs w:val="21"/>
                      <w:lang w:bidi="ar"/>
                    </w:rPr>
                    <w:t>SCR</w:t>
                  </w:r>
                  <w:r>
                    <w:rPr>
                      <w:rStyle w:val="font41"/>
                      <w:rFonts w:ascii="Times New Roman" w:eastAsia="楷体" w:hAnsi="Times New Roman" w:cs="Times New Roman" w:hint="default"/>
                      <w:color w:val="auto"/>
                      <w:sz w:val="21"/>
                      <w:szCs w:val="21"/>
                      <w:lang w:bidi="ar"/>
                    </w:rPr>
                    <w:t>脱硝技术</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。稳定满足焦化超低排放要求。</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w:t>
                  </w:r>
                  <w:r>
                    <w:rPr>
                      <w:rStyle w:val="font11"/>
                      <w:rFonts w:eastAsia="楷体"/>
                      <w:color w:val="auto"/>
                      <w:sz w:val="21"/>
                      <w:szCs w:val="21"/>
                      <w:lang w:bidi="ar"/>
                    </w:rPr>
                    <w:t>SO</w:t>
                  </w:r>
                  <w:r>
                    <w:rPr>
                      <w:rStyle w:val="font11"/>
                      <w:rFonts w:eastAsia="楷体"/>
                      <w:color w:val="auto"/>
                      <w:sz w:val="21"/>
                      <w:szCs w:val="21"/>
                      <w:vertAlign w:val="subscript"/>
                      <w:lang w:bidi="ar"/>
                    </w:rPr>
                    <w:t>2</w:t>
                  </w:r>
                  <w:r>
                    <w:rPr>
                      <w:rStyle w:val="font41"/>
                      <w:rFonts w:ascii="Times New Roman" w:eastAsia="楷体" w:hAnsi="Times New Roman" w:cs="Times New Roman" w:hint="default"/>
                      <w:color w:val="auto"/>
                      <w:sz w:val="21"/>
                      <w:szCs w:val="21"/>
                      <w:lang w:bidi="ar"/>
                    </w:rPr>
                    <w:t>去除率大于</w:t>
                  </w:r>
                  <w:r>
                    <w:rPr>
                      <w:rStyle w:val="font11"/>
                      <w:rFonts w:eastAsia="楷体"/>
                      <w:color w:val="auto"/>
                      <w:sz w:val="21"/>
                      <w:szCs w:val="21"/>
                      <w:lang w:bidi="ar"/>
                    </w:rPr>
                    <w:t>99%</w:t>
                  </w:r>
                  <w:r>
                    <w:rPr>
                      <w:rStyle w:val="font41"/>
                      <w:rFonts w:ascii="Times New Roman" w:eastAsia="楷体" w:hAnsi="Times New Roman" w:cs="Times New Roman" w:hint="default"/>
                      <w:color w:val="auto"/>
                      <w:sz w:val="21"/>
                      <w:szCs w:val="21"/>
                      <w:lang w:bidi="ar"/>
                    </w:rPr>
                    <w:t>，</w:t>
                  </w:r>
                  <w:r>
                    <w:rPr>
                      <w:rStyle w:val="font11"/>
                      <w:rFonts w:eastAsia="楷体"/>
                      <w:color w:val="auto"/>
                      <w:sz w:val="21"/>
                      <w:szCs w:val="21"/>
                      <w:lang w:bidi="ar"/>
                    </w:rPr>
                    <w:t>NOx</w:t>
                  </w:r>
                  <w:r>
                    <w:rPr>
                      <w:rStyle w:val="font41"/>
                      <w:rFonts w:ascii="Times New Roman" w:eastAsia="楷体" w:hAnsi="Times New Roman" w:cs="Times New Roman" w:hint="default"/>
                      <w:color w:val="auto"/>
                      <w:sz w:val="21"/>
                      <w:szCs w:val="21"/>
                      <w:lang w:bidi="ar"/>
                    </w:rPr>
                    <w:t>去除率大于</w:t>
                  </w:r>
                  <w:r>
                    <w:rPr>
                      <w:rStyle w:val="font11"/>
                      <w:rFonts w:eastAsia="楷体"/>
                      <w:color w:val="auto"/>
                      <w:sz w:val="21"/>
                      <w:szCs w:val="21"/>
                      <w:lang w:bidi="ar"/>
                    </w:rPr>
                    <w:t>80%</w:t>
                  </w:r>
                  <w:r>
                    <w:rPr>
                      <w:rStyle w:val="font41"/>
                      <w:rFonts w:ascii="Times New Roman" w:eastAsia="楷体" w:hAnsi="Times New Roman" w:cs="Times New Roman" w:hint="default"/>
                      <w:color w:val="auto"/>
                      <w:sz w:val="21"/>
                      <w:szCs w:val="21"/>
                      <w:lang w:bidi="ar"/>
                    </w:rPr>
                    <w:t>。大幅降低污染物排放量。</w:t>
                  </w:r>
                </w:p>
              </w:tc>
            </w:tr>
            <w:tr w:rsidR="00C72DBD">
              <w:trPr>
                <w:trHeight w:val="128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25</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焦炉煤气净化及</w:t>
                  </w:r>
                  <w:r>
                    <w:rPr>
                      <w:rStyle w:val="font11"/>
                      <w:rFonts w:eastAsia="楷体"/>
                      <w:color w:val="auto"/>
                      <w:sz w:val="21"/>
                      <w:szCs w:val="21"/>
                      <w:lang w:bidi="ar"/>
                    </w:rPr>
                    <w:t>VOCs</w:t>
                  </w:r>
                  <w:r>
                    <w:rPr>
                      <w:rStyle w:val="font41"/>
                      <w:rFonts w:ascii="Times New Roman" w:eastAsia="楷体" w:hAnsi="Times New Roman" w:cs="Times New Roman" w:hint="default"/>
                      <w:color w:val="auto"/>
                      <w:sz w:val="21"/>
                      <w:szCs w:val="21"/>
                      <w:lang w:bidi="ar"/>
                    </w:rPr>
                    <w:t>收集治理</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含氧量低的尾气，收集后通过压力平衡系统进入负压煤气管道内；含氧量高的尾气，收集后经多级吸收后进入干熄焦空气导入管焚烧。</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减排：区域内无</w:t>
                  </w:r>
                  <w:r>
                    <w:rPr>
                      <w:rStyle w:val="font11"/>
                      <w:rFonts w:eastAsia="楷体"/>
                      <w:color w:val="auto"/>
                      <w:sz w:val="21"/>
                      <w:szCs w:val="21"/>
                      <w:lang w:bidi="ar"/>
                    </w:rPr>
                    <w:t>VOCs</w:t>
                  </w:r>
                  <w:r>
                    <w:rPr>
                      <w:rStyle w:val="font41"/>
                      <w:rFonts w:ascii="Times New Roman" w:eastAsia="楷体" w:hAnsi="Times New Roman" w:cs="Times New Roman" w:hint="default"/>
                      <w:color w:val="auto"/>
                      <w:sz w:val="21"/>
                      <w:szCs w:val="21"/>
                      <w:lang w:bidi="ar"/>
                    </w:rPr>
                    <w:t>异味，大幅降低无组织排放</w:t>
                  </w:r>
                </w:p>
              </w:tc>
            </w:tr>
            <w:tr w:rsidR="00C72DBD">
              <w:trPr>
                <w:trHeight w:val="162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26</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焦化废水处理过程中逸散恶臭的收集与治理</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废水处理站在除油池、气浮池、事故调节池、缺氧池等全部设置玻璃钢棚，污泥脱水机房密闭，逸散废气收集后送至碱洗塔</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生物滤池净化装置进行处理。</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减排：区域内无</w:t>
                  </w:r>
                  <w:r>
                    <w:rPr>
                      <w:rStyle w:val="font11"/>
                      <w:rFonts w:eastAsia="楷体"/>
                      <w:color w:val="auto"/>
                      <w:sz w:val="21"/>
                      <w:szCs w:val="21"/>
                      <w:lang w:bidi="ar"/>
                    </w:rPr>
                    <w:t>VOCs</w:t>
                  </w:r>
                  <w:r>
                    <w:rPr>
                      <w:rStyle w:val="font41"/>
                      <w:rFonts w:ascii="Times New Roman" w:eastAsia="楷体" w:hAnsi="Times New Roman" w:cs="Times New Roman" w:hint="default"/>
                      <w:color w:val="auto"/>
                      <w:sz w:val="21"/>
                      <w:szCs w:val="21"/>
                      <w:lang w:bidi="ar"/>
                    </w:rPr>
                    <w:t>异味，大幅降低无组织排放</w:t>
                  </w:r>
                </w:p>
              </w:tc>
            </w:tr>
            <w:tr w:rsidR="00C72DBD">
              <w:trPr>
                <w:trHeight w:val="80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27</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焦炉无组织提标改造技术</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采用高强弹性刀边炉门；焦炉炉顶设封闭罩及布袋除尘。</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减排：大幅降低焦炉无组织外排</w:t>
                  </w:r>
                </w:p>
              </w:tc>
            </w:tr>
            <w:tr w:rsidR="00C72DBD">
              <w:trPr>
                <w:trHeight w:val="138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28</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原料绿色储运项目</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采用</w:t>
                  </w:r>
                  <w:r>
                    <w:rPr>
                      <w:rStyle w:val="font11"/>
                      <w:rFonts w:eastAsia="楷体"/>
                      <w:color w:val="auto"/>
                      <w:sz w:val="21"/>
                      <w:szCs w:val="21"/>
                      <w:lang w:bidi="ar"/>
                    </w:rPr>
                    <w:t>11</w:t>
                  </w:r>
                  <w:r>
                    <w:rPr>
                      <w:rStyle w:val="font41"/>
                      <w:rFonts w:ascii="Times New Roman" w:eastAsia="楷体" w:hAnsi="Times New Roman" w:cs="Times New Roman" w:hint="default"/>
                      <w:color w:val="auto"/>
                      <w:sz w:val="21"/>
                      <w:szCs w:val="21"/>
                      <w:lang w:bidi="ar"/>
                    </w:rPr>
                    <w:t>座封闭式立体筒仓、皮带通廊全封闭、除尘灰全部环保输送以及全机械化清扫降尘等措施，保证原料绿色储运项目。</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减排：有效降低移动源和扬尘源排放</w:t>
                  </w:r>
                </w:p>
              </w:tc>
            </w:tr>
            <w:tr w:rsidR="00C72DBD">
              <w:trPr>
                <w:trHeight w:val="70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29</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焦化整体烟气脱硫项目</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推焦、干熄焦废气配套脱硫设施，大幅降低</w:t>
                  </w:r>
                  <w:r>
                    <w:rPr>
                      <w:rStyle w:val="font11"/>
                      <w:rFonts w:eastAsia="楷体"/>
                      <w:color w:val="auto"/>
                      <w:sz w:val="21"/>
                      <w:szCs w:val="21"/>
                      <w:lang w:bidi="ar"/>
                    </w:rPr>
                    <w:t>SO</w:t>
                  </w:r>
                  <w:r>
                    <w:rPr>
                      <w:rStyle w:val="font11"/>
                      <w:rFonts w:eastAsia="楷体"/>
                      <w:color w:val="auto"/>
                      <w:sz w:val="21"/>
                      <w:szCs w:val="21"/>
                      <w:vertAlign w:val="subscript"/>
                      <w:lang w:bidi="ar"/>
                    </w:rPr>
                    <w:t>2</w:t>
                  </w:r>
                  <w:r>
                    <w:rPr>
                      <w:rStyle w:val="font41"/>
                      <w:rFonts w:ascii="Times New Roman" w:eastAsia="楷体" w:hAnsi="Times New Roman" w:cs="Times New Roman" w:hint="default"/>
                      <w:color w:val="auto"/>
                      <w:sz w:val="21"/>
                      <w:szCs w:val="21"/>
                      <w:lang w:bidi="ar"/>
                    </w:rPr>
                    <w:t>排放浓度。</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w:t>
                  </w:r>
                  <w:r>
                    <w:rPr>
                      <w:rStyle w:val="font11"/>
                      <w:rFonts w:eastAsia="楷体"/>
                      <w:color w:val="auto"/>
                      <w:sz w:val="21"/>
                      <w:szCs w:val="21"/>
                      <w:lang w:bidi="ar"/>
                    </w:rPr>
                    <w:t>SO</w:t>
                  </w:r>
                  <w:r>
                    <w:rPr>
                      <w:rStyle w:val="font11"/>
                      <w:rFonts w:eastAsia="楷体"/>
                      <w:color w:val="auto"/>
                      <w:sz w:val="21"/>
                      <w:szCs w:val="21"/>
                      <w:vertAlign w:val="subscript"/>
                      <w:lang w:bidi="ar"/>
                    </w:rPr>
                    <w:t>2</w:t>
                  </w:r>
                  <w:r>
                    <w:rPr>
                      <w:rStyle w:val="font41"/>
                      <w:rFonts w:ascii="Times New Roman" w:eastAsia="楷体" w:hAnsi="Times New Roman" w:cs="Times New Roman" w:hint="default"/>
                      <w:color w:val="auto"/>
                      <w:sz w:val="21"/>
                      <w:szCs w:val="21"/>
                      <w:lang w:bidi="ar"/>
                    </w:rPr>
                    <w:t>去除率大于</w:t>
                  </w:r>
                  <w:r>
                    <w:rPr>
                      <w:rStyle w:val="font11"/>
                      <w:rFonts w:eastAsia="楷体"/>
                      <w:color w:val="auto"/>
                      <w:sz w:val="21"/>
                      <w:szCs w:val="21"/>
                      <w:lang w:bidi="ar"/>
                    </w:rPr>
                    <w:t>95%</w:t>
                  </w:r>
                  <w:r>
                    <w:rPr>
                      <w:rStyle w:val="font41"/>
                      <w:rFonts w:ascii="Times New Roman" w:eastAsia="楷体" w:hAnsi="Times New Roman" w:cs="Times New Roman" w:hint="default"/>
                      <w:color w:val="auto"/>
                      <w:sz w:val="21"/>
                      <w:szCs w:val="21"/>
                      <w:lang w:bidi="ar"/>
                    </w:rPr>
                    <w:t>，稳定满足超低排放限值。</w:t>
                  </w:r>
                </w:p>
              </w:tc>
            </w:tr>
            <w:tr w:rsidR="00C72DBD">
              <w:trPr>
                <w:trHeight w:val="70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30</w:t>
                  </w:r>
                </w:p>
              </w:tc>
              <w:tc>
                <w:tcPr>
                  <w:tcW w:w="600" w:type="dxa"/>
                  <w:vMerge/>
                  <w:tcBorders>
                    <w:left w:val="single" w:sz="4" w:space="0" w:color="000000"/>
                    <w:bottom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焦化废水多级治理回用项目</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采用预处理</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生化处理</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深度处理，处理后的废水回用于生产</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减排：焦化废水不外排，全部回用于生产</w:t>
                  </w:r>
                </w:p>
              </w:tc>
            </w:tr>
            <w:tr w:rsidR="00C72DBD">
              <w:trPr>
                <w:trHeight w:val="98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31</w:t>
                  </w:r>
                </w:p>
              </w:tc>
              <w:tc>
                <w:tcPr>
                  <w:tcW w:w="600" w:type="dxa"/>
                  <w:vMerge w:val="restart"/>
                  <w:tcBorders>
                    <w:top w:val="single" w:sz="4" w:space="0" w:color="000000"/>
                    <w:left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炼铁</w:t>
                  </w: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高炉热风炉自动优化燃烧技术</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安装自动优化控制系统，实现热风炉的智能快速优化烧炉。</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节能：节省高炉煤气</w:t>
                  </w:r>
                  <w:r>
                    <w:rPr>
                      <w:rStyle w:val="font11"/>
                      <w:rFonts w:eastAsia="楷体"/>
                      <w:color w:val="auto"/>
                      <w:sz w:val="21"/>
                      <w:szCs w:val="21"/>
                      <w:lang w:bidi="ar"/>
                    </w:rPr>
                    <w:t>5341</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m</w:t>
                  </w:r>
                  <w:r>
                    <w:rPr>
                      <w:rStyle w:val="font11"/>
                      <w:rFonts w:eastAsia="楷体"/>
                      <w:color w:val="auto"/>
                      <w:sz w:val="21"/>
                      <w:szCs w:val="21"/>
                      <w:vertAlign w:val="superscript"/>
                      <w:lang w:bidi="ar"/>
                    </w:rPr>
                    <w:t>3</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年，节能量</w:t>
                  </w:r>
                  <w:r>
                    <w:rPr>
                      <w:rStyle w:val="font11"/>
                      <w:rFonts w:eastAsia="楷体"/>
                      <w:color w:val="auto"/>
                      <w:sz w:val="21"/>
                      <w:szCs w:val="21"/>
                      <w:lang w:bidi="ar"/>
                    </w:rPr>
                    <w:t>3495</w:t>
                  </w:r>
                  <w:r>
                    <w:rPr>
                      <w:rStyle w:val="font41"/>
                      <w:rFonts w:ascii="Times New Roman" w:eastAsia="楷体" w:hAnsi="Times New Roman" w:cs="Times New Roman" w:hint="default"/>
                      <w:color w:val="auto"/>
                      <w:sz w:val="21"/>
                      <w:szCs w:val="21"/>
                      <w:lang w:bidi="ar"/>
                    </w:rPr>
                    <w:t>吨标煤</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r>
                    <w:rPr>
                      <w:rStyle w:val="font11"/>
                      <w:rFonts w:eastAsia="楷体"/>
                      <w:color w:val="auto"/>
                      <w:sz w:val="21"/>
                      <w:szCs w:val="21"/>
                      <w:lang w:bidi="ar"/>
                    </w:rPr>
                    <w:br/>
                  </w:r>
                  <w:r>
                    <w:rPr>
                      <w:rStyle w:val="font41"/>
                      <w:rFonts w:ascii="Times New Roman" w:eastAsia="楷体" w:hAnsi="Times New Roman" w:cs="Times New Roman" w:hint="default"/>
                      <w:color w:val="auto"/>
                      <w:sz w:val="21"/>
                      <w:szCs w:val="21"/>
                      <w:lang w:bidi="ar"/>
                    </w:rPr>
                    <w:t>增效：经济效益</w:t>
                  </w:r>
                  <w:r>
                    <w:rPr>
                      <w:rStyle w:val="font11"/>
                      <w:rFonts w:eastAsia="楷体"/>
                      <w:color w:val="auto"/>
                      <w:sz w:val="21"/>
                      <w:szCs w:val="21"/>
                      <w:lang w:bidi="ar"/>
                    </w:rPr>
                    <w:t>656.7</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p>
              </w:tc>
            </w:tr>
            <w:tr w:rsidR="00C72DBD">
              <w:trPr>
                <w:trHeight w:val="102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32</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高炉鼓风机</w:t>
                  </w:r>
                  <w:r>
                    <w:rPr>
                      <w:rStyle w:val="font11"/>
                      <w:rFonts w:eastAsia="楷体"/>
                      <w:color w:val="auto"/>
                      <w:sz w:val="21"/>
                      <w:szCs w:val="21"/>
                      <w:lang w:bidi="ar"/>
                    </w:rPr>
                    <w:t>EPU</w:t>
                  </w:r>
                  <w:r>
                    <w:rPr>
                      <w:rStyle w:val="font41"/>
                      <w:rFonts w:ascii="Times New Roman" w:eastAsia="楷体" w:hAnsi="Times New Roman" w:cs="Times New Roman" w:hint="default"/>
                      <w:color w:val="auto"/>
                      <w:sz w:val="21"/>
                      <w:szCs w:val="21"/>
                      <w:lang w:bidi="ar"/>
                    </w:rPr>
                    <w:t>防喘自动调节技术</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对高炉鼓风机进行防喘自动调节，减小防喘开度，减少耗气量，降低鼓风机耗电。</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节能：节电量约</w:t>
                  </w:r>
                  <w:r>
                    <w:rPr>
                      <w:rStyle w:val="font11"/>
                      <w:rFonts w:eastAsia="楷体"/>
                      <w:color w:val="auto"/>
                      <w:sz w:val="21"/>
                      <w:szCs w:val="21"/>
                      <w:lang w:bidi="ar"/>
                    </w:rPr>
                    <w:t>322</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kWh/</w:t>
                  </w:r>
                  <w:r>
                    <w:rPr>
                      <w:rStyle w:val="font41"/>
                      <w:rFonts w:ascii="Times New Roman" w:eastAsia="楷体" w:hAnsi="Times New Roman" w:cs="Times New Roman" w:hint="default"/>
                      <w:color w:val="auto"/>
                      <w:sz w:val="21"/>
                      <w:szCs w:val="21"/>
                      <w:lang w:bidi="ar"/>
                    </w:rPr>
                    <w:t>年，节能量</w:t>
                  </w:r>
                  <w:r>
                    <w:rPr>
                      <w:rStyle w:val="font11"/>
                      <w:rFonts w:eastAsia="楷体"/>
                      <w:color w:val="auto"/>
                      <w:sz w:val="21"/>
                      <w:szCs w:val="21"/>
                      <w:lang w:bidi="ar"/>
                    </w:rPr>
                    <w:t>395</w:t>
                  </w:r>
                  <w:r>
                    <w:rPr>
                      <w:rStyle w:val="font41"/>
                      <w:rFonts w:ascii="Times New Roman" w:eastAsia="楷体" w:hAnsi="Times New Roman" w:cs="Times New Roman" w:hint="default"/>
                      <w:color w:val="auto"/>
                      <w:sz w:val="21"/>
                      <w:szCs w:val="21"/>
                      <w:lang w:bidi="ar"/>
                    </w:rPr>
                    <w:t>吨标煤</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r>
                    <w:rPr>
                      <w:rStyle w:val="font11"/>
                      <w:rFonts w:eastAsia="楷体"/>
                      <w:color w:val="auto"/>
                      <w:sz w:val="21"/>
                      <w:szCs w:val="21"/>
                      <w:lang w:bidi="ar"/>
                    </w:rPr>
                    <w:br/>
                  </w:r>
                  <w:r>
                    <w:rPr>
                      <w:rStyle w:val="font41"/>
                      <w:rFonts w:ascii="Times New Roman" w:eastAsia="楷体" w:hAnsi="Times New Roman" w:cs="Times New Roman" w:hint="default"/>
                      <w:color w:val="auto"/>
                      <w:sz w:val="21"/>
                      <w:szCs w:val="21"/>
                      <w:lang w:bidi="ar"/>
                    </w:rPr>
                    <w:t>增效：经济效益</w:t>
                  </w:r>
                  <w:r>
                    <w:rPr>
                      <w:rStyle w:val="font11"/>
                      <w:rFonts w:eastAsia="楷体"/>
                      <w:color w:val="auto"/>
                      <w:sz w:val="21"/>
                      <w:szCs w:val="21"/>
                      <w:lang w:bidi="ar"/>
                    </w:rPr>
                    <w:t>257</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p>
              </w:tc>
            </w:tr>
            <w:tr w:rsidR="00C72DBD">
              <w:trPr>
                <w:trHeight w:val="96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33</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高炉皮带永磁电机试验性节电改造</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对</w:t>
                  </w:r>
                  <w:r>
                    <w:rPr>
                      <w:rStyle w:val="font11"/>
                      <w:rFonts w:eastAsia="楷体"/>
                      <w:color w:val="auto"/>
                      <w:sz w:val="21"/>
                      <w:szCs w:val="21"/>
                      <w:lang w:bidi="ar"/>
                    </w:rPr>
                    <w:t>3#</w:t>
                  </w:r>
                  <w:r>
                    <w:rPr>
                      <w:rStyle w:val="font41"/>
                      <w:rFonts w:ascii="Times New Roman" w:eastAsia="楷体" w:hAnsi="Times New Roman" w:cs="Times New Roman" w:hint="default"/>
                      <w:color w:val="auto"/>
                      <w:sz w:val="21"/>
                      <w:szCs w:val="21"/>
                      <w:lang w:bidi="ar"/>
                    </w:rPr>
                    <w:t>高炉</w:t>
                  </w:r>
                  <w:r>
                    <w:rPr>
                      <w:rStyle w:val="font11"/>
                      <w:rFonts w:eastAsia="楷体"/>
                      <w:color w:val="auto"/>
                      <w:sz w:val="21"/>
                      <w:szCs w:val="21"/>
                      <w:lang w:bidi="ar"/>
                    </w:rPr>
                    <w:t>9#</w:t>
                  </w:r>
                  <w:r>
                    <w:rPr>
                      <w:rStyle w:val="font41"/>
                      <w:rFonts w:ascii="Times New Roman" w:eastAsia="楷体" w:hAnsi="Times New Roman" w:cs="Times New Roman" w:hint="default"/>
                      <w:color w:val="auto"/>
                      <w:sz w:val="21"/>
                      <w:szCs w:val="21"/>
                      <w:lang w:bidi="ar"/>
                    </w:rPr>
                    <w:t>皮带</w:t>
                  </w:r>
                  <w:r>
                    <w:rPr>
                      <w:rStyle w:val="font11"/>
                      <w:rFonts w:eastAsia="楷体"/>
                      <w:color w:val="auto"/>
                      <w:sz w:val="21"/>
                      <w:szCs w:val="21"/>
                      <w:lang w:bidi="ar"/>
                    </w:rPr>
                    <w:t>55kW</w:t>
                  </w:r>
                  <w:r>
                    <w:rPr>
                      <w:rStyle w:val="font41"/>
                      <w:rFonts w:ascii="Times New Roman" w:eastAsia="楷体" w:hAnsi="Times New Roman" w:cs="Times New Roman" w:hint="default"/>
                      <w:color w:val="auto"/>
                      <w:sz w:val="21"/>
                      <w:szCs w:val="21"/>
                      <w:lang w:bidi="ar"/>
                    </w:rPr>
                    <w:t>电机进行低转速、大扭矩的永磁电机试验性节电改造。</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节能：节电量约</w:t>
                  </w:r>
                  <w:r>
                    <w:rPr>
                      <w:rStyle w:val="font11"/>
                      <w:rFonts w:eastAsia="楷体"/>
                      <w:color w:val="auto"/>
                      <w:sz w:val="21"/>
                      <w:szCs w:val="21"/>
                      <w:lang w:bidi="ar"/>
                    </w:rPr>
                    <w:t>8.2kWh/</w:t>
                  </w:r>
                  <w:r>
                    <w:rPr>
                      <w:rStyle w:val="font41"/>
                      <w:rFonts w:ascii="Times New Roman" w:eastAsia="楷体" w:hAnsi="Times New Roman" w:cs="Times New Roman" w:hint="default"/>
                      <w:color w:val="auto"/>
                      <w:sz w:val="21"/>
                      <w:szCs w:val="21"/>
                      <w:lang w:bidi="ar"/>
                    </w:rPr>
                    <w:t>年，节能量</w:t>
                  </w:r>
                  <w:r>
                    <w:rPr>
                      <w:rStyle w:val="font11"/>
                      <w:rFonts w:eastAsia="楷体"/>
                      <w:color w:val="auto"/>
                      <w:sz w:val="21"/>
                      <w:szCs w:val="21"/>
                      <w:lang w:bidi="ar"/>
                    </w:rPr>
                    <w:t>17</w:t>
                  </w:r>
                  <w:r>
                    <w:rPr>
                      <w:rStyle w:val="font41"/>
                      <w:rFonts w:ascii="Times New Roman" w:eastAsia="楷体" w:hAnsi="Times New Roman" w:cs="Times New Roman" w:hint="default"/>
                      <w:color w:val="auto"/>
                      <w:sz w:val="21"/>
                      <w:szCs w:val="21"/>
                      <w:lang w:bidi="ar"/>
                    </w:rPr>
                    <w:t>吨标煤</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r>
                    <w:rPr>
                      <w:rStyle w:val="font11"/>
                      <w:rFonts w:eastAsia="楷体"/>
                      <w:color w:val="auto"/>
                      <w:sz w:val="21"/>
                      <w:szCs w:val="21"/>
                      <w:lang w:bidi="ar"/>
                    </w:rPr>
                    <w:br/>
                  </w:r>
                  <w:r>
                    <w:rPr>
                      <w:rStyle w:val="font41"/>
                      <w:rFonts w:ascii="Times New Roman" w:eastAsia="楷体" w:hAnsi="Times New Roman" w:cs="Times New Roman" w:hint="default"/>
                      <w:color w:val="auto"/>
                      <w:sz w:val="21"/>
                      <w:szCs w:val="21"/>
                      <w:lang w:bidi="ar"/>
                    </w:rPr>
                    <w:t>增效：经济效益</w:t>
                  </w:r>
                  <w:r>
                    <w:rPr>
                      <w:rStyle w:val="font11"/>
                      <w:rFonts w:eastAsia="楷体"/>
                      <w:color w:val="auto"/>
                      <w:sz w:val="21"/>
                      <w:szCs w:val="21"/>
                      <w:lang w:bidi="ar"/>
                    </w:rPr>
                    <w:t>6.5</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p>
              </w:tc>
            </w:tr>
            <w:tr w:rsidR="00C72DBD">
              <w:trPr>
                <w:trHeight w:val="1417"/>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34</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高炉机前富氧改造</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利用出制氧装置（空分分馏塔）的压力约</w:t>
                  </w:r>
                  <w:r>
                    <w:rPr>
                      <w:rStyle w:val="font11"/>
                      <w:rFonts w:eastAsia="楷体"/>
                      <w:color w:val="auto"/>
                      <w:sz w:val="21"/>
                      <w:szCs w:val="21"/>
                      <w:lang w:bidi="ar"/>
                    </w:rPr>
                    <w:t>20kpa</w:t>
                  </w:r>
                  <w:r>
                    <w:rPr>
                      <w:rStyle w:val="font41"/>
                      <w:rFonts w:ascii="Times New Roman" w:eastAsia="楷体" w:hAnsi="Times New Roman" w:cs="Times New Roman" w:hint="default"/>
                      <w:color w:val="auto"/>
                      <w:sz w:val="21"/>
                      <w:szCs w:val="21"/>
                      <w:lang w:bidi="ar"/>
                    </w:rPr>
                    <w:t>直接送到高炉鼓风机的吸入侧，无需使用氧气压缩机，从而节约制氧电能消耗。</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节能：节能量</w:t>
                  </w:r>
                  <w:r>
                    <w:rPr>
                      <w:rStyle w:val="font11"/>
                      <w:rFonts w:eastAsia="楷体"/>
                      <w:color w:val="auto"/>
                      <w:sz w:val="21"/>
                      <w:szCs w:val="21"/>
                      <w:lang w:bidi="ar"/>
                    </w:rPr>
                    <w:t>1069</w:t>
                  </w:r>
                  <w:r>
                    <w:rPr>
                      <w:rStyle w:val="font41"/>
                      <w:rFonts w:ascii="Times New Roman" w:eastAsia="楷体" w:hAnsi="Times New Roman" w:cs="Times New Roman" w:hint="default"/>
                      <w:color w:val="auto"/>
                      <w:sz w:val="21"/>
                      <w:szCs w:val="21"/>
                      <w:lang w:bidi="ar"/>
                    </w:rPr>
                    <w:t>吨标煤</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r>
                    <w:rPr>
                      <w:rStyle w:val="font11"/>
                      <w:rFonts w:eastAsia="楷体"/>
                      <w:color w:val="auto"/>
                      <w:sz w:val="21"/>
                      <w:szCs w:val="21"/>
                      <w:lang w:bidi="ar"/>
                    </w:rPr>
                    <w:br/>
                  </w:r>
                  <w:r>
                    <w:rPr>
                      <w:rStyle w:val="font41"/>
                      <w:rFonts w:ascii="Times New Roman" w:eastAsia="楷体" w:hAnsi="Times New Roman" w:cs="Times New Roman" w:hint="default"/>
                      <w:color w:val="auto"/>
                      <w:sz w:val="21"/>
                      <w:szCs w:val="21"/>
                      <w:lang w:bidi="ar"/>
                    </w:rPr>
                    <w:t>增效：经济效益</w:t>
                  </w:r>
                  <w:r>
                    <w:rPr>
                      <w:rStyle w:val="font11"/>
                      <w:rFonts w:eastAsia="楷体"/>
                      <w:color w:val="auto"/>
                      <w:sz w:val="21"/>
                      <w:szCs w:val="21"/>
                      <w:lang w:bidi="ar"/>
                    </w:rPr>
                    <w:t>422</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p>
              </w:tc>
            </w:tr>
            <w:tr w:rsidR="00C72DBD">
              <w:trPr>
                <w:trHeight w:val="1417"/>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35</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高炉热风炉双预热</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配套煤气和助燃风双预热顶燃式热风炉，利用热风炉烟气余热预热高炉煤气和助燃风，既提高高炉风温，又能降低热风炉的煤气消耗。</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节能：节省高炉煤气</w:t>
                  </w:r>
                  <w:r>
                    <w:rPr>
                      <w:rStyle w:val="font11"/>
                      <w:rFonts w:eastAsia="楷体"/>
                      <w:color w:val="auto"/>
                      <w:sz w:val="21"/>
                      <w:szCs w:val="21"/>
                      <w:lang w:bidi="ar"/>
                    </w:rPr>
                    <w:t>6925</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m</w:t>
                  </w:r>
                  <w:r>
                    <w:rPr>
                      <w:rStyle w:val="font11"/>
                      <w:rFonts w:eastAsia="楷体"/>
                      <w:color w:val="auto"/>
                      <w:sz w:val="21"/>
                      <w:szCs w:val="21"/>
                      <w:vertAlign w:val="superscript"/>
                      <w:lang w:bidi="ar"/>
                    </w:rPr>
                    <w:t>3</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年，节能量</w:t>
                  </w:r>
                  <w:r>
                    <w:rPr>
                      <w:rStyle w:val="font11"/>
                      <w:rFonts w:eastAsia="楷体"/>
                      <w:color w:val="auto"/>
                      <w:sz w:val="21"/>
                      <w:szCs w:val="21"/>
                      <w:lang w:bidi="ar"/>
                    </w:rPr>
                    <w:t>8310</w:t>
                  </w:r>
                  <w:r>
                    <w:rPr>
                      <w:rStyle w:val="font41"/>
                      <w:rFonts w:ascii="Times New Roman" w:eastAsia="楷体" w:hAnsi="Times New Roman" w:cs="Times New Roman" w:hint="default"/>
                      <w:color w:val="auto"/>
                      <w:sz w:val="21"/>
                      <w:szCs w:val="21"/>
                      <w:lang w:bidi="ar"/>
                    </w:rPr>
                    <w:t>吨标煤</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r>
                    <w:rPr>
                      <w:rStyle w:val="font11"/>
                      <w:rFonts w:eastAsia="楷体"/>
                      <w:color w:val="auto"/>
                      <w:sz w:val="21"/>
                      <w:szCs w:val="21"/>
                      <w:lang w:bidi="ar"/>
                    </w:rPr>
                    <w:br/>
                  </w:r>
                  <w:r>
                    <w:rPr>
                      <w:rStyle w:val="font41"/>
                      <w:rFonts w:ascii="Times New Roman" w:eastAsia="楷体" w:hAnsi="Times New Roman" w:cs="Times New Roman" w:hint="default"/>
                      <w:color w:val="auto"/>
                      <w:sz w:val="21"/>
                      <w:szCs w:val="21"/>
                      <w:lang w:bidi="ar"/>
                    </w:rPr>
                    <w:t>增效：经济效益</w:t>
                  </w:r>
                  <w:r>
                    <w:rPr>
                      <w:rStyle w:val="font11"/>
                      <w:rFonts w:eastAsia="楷体"/>
                      <w:color w:val="auto"/>
                      <w:sz w:val="21"/>
                      <w:szCs w:val="21"/>
                      <w:lang w:bidi="ar"/>
                    </w:rPr>
                    <w:t>415.5</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p>
              </w:tc>
            </w:tr>
            <w:tr w:rsidR="00C72DBD">
              <w:trPr>
                <w:trHeight w:val="106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36</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高炉无组织全封闭改造项目</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高炉矿槽、出铁场、皮带通廊等所有物料转运及粉尘量大区域全部实现高标准全封闭，无可见粉尘外逸。</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减排：大幅降低无组织外排。</w:t>
                  </w:r>
                </w:p>
              </w:tc>
            </w:tr>
            <w:tr w:rsidR="00C72DBD">
              <w:trPr>
                <w:trHeight w:val="108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37</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高炉热风炉低氮燃烧改造</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三座高炉热风炉全部采用先进的分级燃烧低氮燃烧技术，实现源头减排，</w:t>
                  </w:r>
                  <w:r>
                    <w:rPr>
                      <w:rStyle w:val="font41"/>
                      <w:rFonts w:ascii="Times New Roman" w:eastAsia="楷体" w:hAnsi="Times New Roman" w:cs="Times New Roman" w:hint="default"/>
                      <w:color w:val="auto"/>
                      <w:sz w:val="21"/>
                      <w:szCs w:val="21"/>
                      <w:lang w:bidi="ar"/>
                    </w:rPr>
                    <w:t>NOx</w:t>
                  </w:r>
                  <w:r>
                    <w:rPr>
                      <w:rStyle w:val="font41"/>
                      <w:rFonts w:ascii="Times New Roman" w:eastAsia="楷体" w:hAnsi="Times New Roman" w:cs="Times New Roman" w:hint="default"/>
                      <w:color w:val="auto"/>
                      <w:sz w:val="21"/>
                      <w:szCs w:val="21"/>
                      <w:lang w:bidi="ar"/>
                    </w:rPr>
                    <w:t>稳定满足超低排放限值。</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w:t>
                  </w:r>
                  <w:r>
                    <w:rPr>
                      <w:rStyle w:val="font11"/>
                      <w:rFonts w:eastAsia="楷体"/>
                      <w:color w:val="auto"/>
                      <w:sz w:val="21"/>
                      <w:szCs w:val="21"/>
                      <w:lang w:bidi="ar"/>
                    </w:rPr>
                    <w:t>NOx</w:t>
                  </w:r>
                  <w:r>
                    <w:rPr>
                      <w:rStyle w:val="font41"/>
                      <w:rFonts w:ascii="Times New Roman" w:eastAsia="楷体" w:hAnsi="Times New Roman" w:cs="Times New Roman" w:hint="default"/>
                      <w:color w:val="auto"/>
                      <w:sz w:val="21"/>
                      <w:szCs w:val="21"/>
                      <w:lang w:bidi="ar"/>
                    </w:rPr>
                    <w:t>排放限值低于</w:t>
                  </w:r>
                  <w:r>
                    <w:rPr>
                      <w:rStyle w:val="font11"/>
                      <w:rFonts w:eastAsia="楷体"/>
                      <w:color w:val="auto"/>
                      <w:sz w:val="21"/>
                      <w:szCs w:val="21"/>
                      <w:lang w:bidi="ar"/>
                    </w:rPr>
                    <w:t>30mg/m</w:t>
                  </w:r>
                  <w:r>
                    <w:rPr>
                      <w:rStyle w:val="font11"/>
                      <w:rFonts w:eastAsia="楷体"/>
                      <w:color w:val="auto"/>
                      <w:sz w:val="21"/>
                      <w:szCs w:val="21"/>
                      <w:vertAlign w:val="superscript"/>
                      <w:lang w:bidi="ar"/>
                    </w:rPr>
                    <w:t>3</w:t>
                  </w:r>
                  <w:r>
                    <w:rPr>
                      <w:rStyle w:val="font41"/>
                      <w:rFonts w:ascii="Times New Roman" w:eastAsia="楷体" w:hAnsi="Times New Roman" w:cs="Times New Roman" w:hint="default"/>
                      <w:color w:val="auto"/>
                      <w:sz w:val="21"/>
                      <w:szCs w:val="21"/>
                      <w:lang w:bidi="ar"/>
                    </w:rPr>
                    <w:t>，稳定满足超低排放限值。</w:t>
                  </w:r>
                </w:p>
              </w:tc>
            </w:tr>
            <w:tr w:rsidR="00C72DBD">
              <w:trPr>
                <w:trHeight w:val="96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38</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高炉热风炉末端脱硫提标改造</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三座高炉热风炉全部配套固定床脱硫技术，</w:t>
                  </w:r>
                  <w:r>
                    <w:rPr>
                      <w:rStyle w:val="font11"/>
                      <w:rFonts w:eastAsia="楷体"/>
                      <w:color w:val="auto"/>
                      <w:sz w:val="21"/>
                      <w:szCs w:val="21"/>
                      <w:lang w:bidi="ar"/>
                    </w:rPr>
                    <w:t>SO</w:t>
                  </w:r>
                  <w:r>
                    <w:rPr>
                      <w:rStyle w:val="font11"/>
                      <w:rFonts w:eastAsia="楷体"/>
                      <w:color w:val="auto"/>
                      <w:sz w:val="21"/>
                      <w:szCs w:val="21"/>
                      <w:vertAlign w:val="subscript"/>
                      <w:lang w:bidi="ar"/>
                    </w:rPr>
                    <w:t>2</w:t>
                  </w:r>
                  <w:r>
                    <w:rPr>
                      <w:rStyle w:val="font41"/>
                      <w:rFonts w:ascii="Times New Roman" w:eastAsia="楷体" w:hAnsi="Times New Roman" w:cs="Times New Roman" w:hint="default"/>
                      <w:color w:val="auto"/>
                      <w:sz w:val="21"/>
                      <w:szCs w:val="21"/>
                      <w:lang w:bidi="ar"/>
                    </w:rPr>
                    <w:t>排放浓度稳定满足超低排放限值。</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w:t>
                  </w:r>
                  <w:r>
                    <w:rPr>
                      <w:rStyle w:val="font11"/>
                      <w:rFonts w:eastAsia="楷体"/>
                      <w:color w:val="auto"/>
                      <w:sz w:val="21"/>
                      <w:szCs w:val="21"/>
                      <w:lang w:bidi="ar"/>
                    </w:rPr>
                    <w:t>SO</w:t>
                  </w:r>
                  <w:r>
                    <w:rPr>
                      <w:rStyle w:val="font11"/>
                      <w:rFonts w:eastAsia="楷体"/>
                      <w:color w:val="auto"/>
                      <w:sz w:val="21"/>
                      <w:szCs w:val="21"/>
                      <w:vertAlign w:val="subscript"/>
                      <w:lang w:bidi="ar"/>
                    </w:rPr>
                    <w:t>2</w:t>
                  </w:r>
                  <w:r>
                    <w:rPr>
                      <w:rStyle w:val="font41"/>
                      <w:rFonts w:ascii="Times New Roman" w:eastAsia="楷体" w:hAnsi="Times New Roman" w:cs="Times New Roman" w:hint="default"/>
                      <w:color w:val="auto"/>
                      <w:sz w:val="21"/>
                      <w:szCs w:val="21"/>
                      <w:lang w:bidi="ar"/>
                    </w:rPr>
                    <w:t>排放限值低于</w:t>
                  </w:r>
                  <w:r>
                    <w:rPr>
                      <w:rStyle w:val="font11"/>
                      <w:rFonts w:eastAsia="楷体"/>
                      <w:color w:val="auto"/>
                      <w:sz w:val="21"/>
                      <w:szCs w:val="21"/>
                      <w:lang w:bidi="ar"/>
                    </w:rPr>
                    <w:t>20mg/m</w:t>
                  </w:r>
                  <w:r>
                    <w:rPr>
                      <w:rStyle w:val="font11"/>
                      <w:rFonts w:eastAsia="楷体"/>
                      <w:color w:val="auto"/>
                      <w:sz w:val="21"/>
                      <w:szCs w:val="21"/>
                      <w:vertAlign w:val="superscript"/>
                      <w:lang w:bidi="ar"/>
                    </w:rPr>
                    <w:t>3</w:t>
                  </w:r>
                  <w:r>
                    <w:rPr>
                      <w:rStyle w:val="font41"/>
                      <w:rFonts w:ascii="Times New Roman" w:eastAsia="楷体" w:hAnsi="Times New Roman" w:cs="Times New Roman" w:hint="default"/>
                      <w:color w:val="auto"/>
                      <w:sz w:val="21"/>
                      <w:szCs w:val="21"/>
                      <w:lang w:bidi="ar"/>
                    </w:rPr>
                    <w:t>，稳定满足超低排放限值。</w:t>
                  </w:r>
                </w:p>
              </w:tc>
            </w:tr>
            <w:tr w:rsidR="00C72DBD">
              <w:trPr>
                <w:trHeight w:val="104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39</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高炉全工序除尘提标改造</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矿槽、出铁场、煤粉制备、原料转运等所有工序全部配套高效袋式除尘器，确保风量适配。</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w:t>
                  </w:r>
                  <w:r>
                    <w:rPr>
                      <w:rStyle w:val="font11"/>
                      <w:rFonts w:eastAsia="楷体"/>
                      <w:color w:val="auto"/>
                      <w:sz w:val="21"/>
                      <w:szCs w:val="21"/>
                      <w:lang w:bidi="ar"/>
                    </w:rPr>
                    <w:t>PM</w:t>
                  </w:r>
                  <w:r>
                    <w:rPr>
                      <w:rStyle w:val="font41"/>
                      <w:rFonts w:ascii="Times New Roman" w:eastAsia="楷体" w:hAnsi="Times New Roman" w:cs="Times New Roman" w:hint="default"/>
                      <w:color w:val="auto"/>
                      <w:sz w:val="21"/>
                      <w:szCs w:val="21"/>
                      <w:lang w:bidi="ar"/>
                    </w:rPr>
                    <w:t>去除率大于</w:t>
                  </w:r>
                  <w:r>
                    <w:rPr>
                      <w:rStyle w:val="font11"/>
                      <w:rFonts w:eastAsia="楷体"/>
                      <w:color w:val="auto"/>
                      <w:sz w:val="21"/>
                      <w:szCs w:val="21"/>
                      <w:lang w:bidi="ar"/>
                    </w:rPr>
                    <w:t>99%</w:t>
                  </w:r>
                  <w:r>
                    <w:rPr>
                      <w:rStyle w:val="font41"/>
                      <w:rFonts w:ascii="Times New Roman" w:eastAsia="楷体" w:hAnsi="Times New Roman" w:cs="Times New Roman" w:hint="default"/>
                      <w:color w:val="auto"/>
                      <w:sz w:val="21"/>
                      <w:szCs w:val="21"/>
                      <w:lang w:bidi="ar"/>
                    </w:rPr>
                    <w:t>。</w:t>
                  </w:r>
                </w:p>
              </w:tc>
            </w:tr>
            <w:tr w:rsidR="00C72DBD">
              <w:trPr>
                <w:trHeight w:val="78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40</w:t>
                  </w:r>
                </w:p>
              </w:tc>
              <w:tc>
                <w:tcPr>
                  <w:tcW w:w="600" w:type="dxa"/>
                  <w:vMerge/>
                  <w:tcBorders>
                    <w:left w:val="single" w:sz="4" w:space="0" w:color="000000"/>
                    <w:bottom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高炉炉顶均压放散</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休风回收放散回收技术</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配备均压放散和炉顶放散设备，避免</w:t>
                  </w:r>
                  <w:r>
                    <w:rPr>
                      <w:rStyle w:val="font11"/>
                      <w:rFonts w:eastAsia="楷体"/>
                      <w:color w:val="auto"/>
                      <w:sz w:val="21"/>
                      <w:szCs w:val="21"/>
                      <w:lang w:bidi="ar"/>
                    </w:rPr>
                    <w:t>CO</w:t>
                  </w:r>
                  <w:r>
                    <w:rPr>
                      <w:rStyle w:val="font41"/>
                      <w:rFonts w:ascii="Times New Roman" w:eastAsia="楷体" w:hAnsi="Times New Roman" w:cs="Times New Roman" w:hint="default"/>
                      <w:color w:val="auto"/>
                      <w:sz w:val="21"/>
                      <w:szCs w:val="21"/>
                      <w:lang w:bidi="ar"/>
                    </w:rPr>
                    <w:t>异常排放。</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减排：降低煤气和</w:t>
                  </w:r>
                  <w:r>
                    <w:rPr>
                      <w:rStyle w:val="font11"/>
                      <w:rFonts w:eastAsia="楷体"/>
                      <w:color w:val="auto"/>
                      <w:sz w:val="21"/>
                      <w:szCs w:val="21"/>
                      <w:lang w:bidi="ar"/>
                    </w:rPr>
                    <w:t>CO</w:t>
                  </w:r>
                  <w:r>
                    <w:rPr>
                      <w:rStyle w:val="font41"/>
                      <w:rFonts w:ascii="Times New Roman" w:eastAsia="楷体" w:hAnsi="Times New Roman" w:cs="Times New Roman" w:hint="default"/>
                      <w:color w:val="auto"/>
                      <w:sz w:val="21"/>
                      <w:szCs w:val="21"/>
                      <w:lang w:bidi="ar"/>
                    </w:rPr>
                    <w:t>放散；</w:t>
                  </w:r>
                  <w:r>
                    <w:rPr>
                      <w:rStyle w:val="font21"/>
                      <w:rFonts w:eastAsia="楷体"/>
                      <w:color w:val="auto"/>
                      <w:sz w:val="21"/>
                      <w:szCs w:val="21"/>
                      <w:lang w:bidi="ar"/>
                    </w:rPr>
                    <w:br/>
                  </w:r>
                  <w:r>
                    <w:rPr>
                      <w:rStyle w:val="font41"/>
                      <w:rFonts w:ascii="Times New Roman" w:eastAsia="楷体" w:hAnsi="Times New Roman" w:cs="Times New Roman" w:hint="default"/>
                      <w:color w:val="auto"/>
                      <w:sz w:val="21"/>
                      <w:szCs w:val="21"/>
                      <w:lang w:bidi="ar"/>
                    </w:rPr>
                    <w:t>增效：经济效益</w:t>
                  </w:r>
                  <w:r>
                    <w:rPr>
                      <w:rStyle w:val="font21"/>
                      <w:rFonts w:eastAsia="楷体"/>
                      <w:color w:val="auto"/>
                      <w:sz w:val="21"/>
                      <w:szCs w:val="21"/>
                      <w:lang w:bidi="ar"/>
                    </w:rPr>
                    <w:t>325.5</w:t>
                  </w:r>
                  <w:r>
                    <w:rPr>
                      <w:rStyle w:val="font41"/>
                      <w:rFonts w:ascii="Times New Roman" w:eastAsia="楷体" w:hAnsi="Times New Roman" w:cs="Times New Roman" w:hint="default"/>
                      <w:color w:val="auto"/>
                      <w:sz w:val="21"/>
                      <w:szCs w:val="21"/>
                      <w:lang w:bidi="ar"/>
                    </w:rPr>
                    <w:t>万</w:t>
                  </w:r>
                  <w:r>
                    <w:rPr>
                      <w:rStyle w:val="font2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p>
              </w:tc>
            </w:tr>
            <w:tr w:rsidR="00C72DBD">
              <w:trPr>
                <w:trHeight w:val="110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41</w:t>
                  </w:r>
                </w:p>
              </w:tc>
              <w:tc>
                <w:tcPr>
                  <w:tcW w:w="600" w:type="dxa"/>
                  <w:vMerge w:val="restart"/>
                  <w:tcBorders>
                    <w:top w:val="single" w:sz="4" w:space="0" w:color="000000"/>
                    <w:left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白灰</w:t>
                  </w: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2#</w:t>
                  </w:r>
                  <w:r>
                    <w:rPr>
                      <w:rStyle w:val="font41"/>
                      <w:rFonts w:ascii="Times New Roman" w:eastAsia="楷体" w:hAnsi="Times New Roman" w:cs="Times New Roman" w:hint="default"/>
                      <w:color w:val="auto"/>
                      <w:sz w:val="21"/>
                      <w:szCs w:val="21"/>
                      <w:lang w:bidi="ar"/>
                    </w:rPr>
                    <w:t>白灰转窑引风机和二次风机变频改造</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升级原有的引风机和二次风机，开展变频改造。</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节能：节电量</w:t>
                  </w:r>
                  <w:r>
                    <w:rPr>
                      <w:rStyle w:val="font11"/>
                      <w:rFonts w:eastAsia="楷体"/>
                      <w:color w:val="auto"/>
                      <w:sz w:val="21"/>
                      <w:szCs w:val="21"/>
                      <w:lang w:bidi="ar"/>
                    </w:rPr>
                    <w:t>117</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kWh/</w:t>
                  </w:r>
                  <w:r>
                    <w:rPr>
                      <w:rStyle w:val="font41"/>
                      <w:rFonts w:ascii="Times New Roman" w:eastAsia="楷体" w:hAnsi="Times New Roman" w:cs="Times New Roman" w:hint="default"/>
                      <w:color w:val="auto"/>
                      <w:sz w:val="21"/>
                      <w:szCs w:val="21"/>
                      <w:lang w:bidi="ar"/>
                    </w:rPr>
                    <w:t>年，节能量</w:t>
                  </w:r>
                  <w:r>
                    <w:rPr>
                      <w:rStyle w:val="font11"/>
                      <w:rFonts w:eastAsia="楷体"/>
                      <w:color w:val="auto"/>
                      <w:sz w:val="21"/>
                      <w:szCs w:val="21"/>
                      <w:lang w:bidi="ar"/>
                    </w:rPr>
                    <w:t>144</w:t>
                  </w:r>
                  <w:r>
                    <w:rPr>
                      <w:rStyle w:val="font41"/>
                      <w:rFonts w:ascii="Times New Roman" w:eastAsia="楷体" w:hAnsi="Times New Roman" w:cs="Times New Roman" w:hint="default"/>
                      <w:color w:val="auto"/>
                      <w:sz w:val="21"/>
                      <w:szCs w:val="21"/>
                      <w:lang w:bidi="ar"/>
                    </w:rPr>
                    <w:t>吨标煤</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r>
                    <w:rPr>
                      <w:rStyle w:val="font11"/>
                      <w:rFonts w:eastAsia="楷体"/>
                      <w:color w:val="auto"/>
                      <w:sz w:val="21"/>
                      <w:szCs w:val="21"/>
                      <w:lang w:bidi="ar"/>
                    </w:rPr>
                    <w:br/>
                  </w:r>
                  <w:r>
                    <w:rPr>
                      <w:rStyle w:val="font41"/>
                      <w:rFonts w:ascii="Times New Roman" w:eastAsia="楷体" w:hAnsi="Times New Roman" w:cs="Times New Roman" w:hint="default"/>
                      <w:color w:val="auto"/>
                      <w:sz w:val="21"/>
                      <w:szCs w:val="21"/>
                      <w:lang w:bidi="ar"/>
                    </w:rPr>
                    <w:t>增效：经济效益</w:t>
                  </w:r>
                  <w:r>
                    <w:rPr>
                      <w:rStyle w:val="font11"/>
                      <w:rFonts w:eastAsia="楷体"/>
                      <w:color w:val="auto"/>
                      <w:sz w:val="21"/>
                      <w:szCs w:val="21"/>
                      <w:lang w:bidi="ar"/>
                    </w:rPr>
                    <w:t>56.7</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p>
              </w:tc>
            </w:tr>
            <w:tr w:rsidR="00C72DBD">
              <w:trPr>
                <w:trHeight w:val="112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42</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高温废气余热回收利用改造</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将回转窑高温废气引入白灰转窑预热器进行余热利用，减少煤气消耗，实现工艺就近循环利用。</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节能：节能量</w:t>
                  </w:r>
                  <w:r>
                    <w:rPr>
                      <w:rStyle w:val="font21"/>
                      <w:rFonts w:eastAsia="楷体"/>
                      <w:color w:val="auto"/>
                      <w:sz w:val="21"/>
                      <w:szCs w:val="21"/>
                      <w:lang w:bidi="ar"/>
                    </w:rPr>
                    <w:t>105</w:t>
                  </w:r>
                  <w:r>
                    <w:rPr>
                      <w:rStyle w:val="font41"/>
                      <w:rFonts w:ascii="Times New Roman" w:eastAsia="楷体" w:hAnsi="Times New Roman" w:cs="Times New Roman" w:hint="default"/>
                      <w:color w:val="auto"/>
                      <w:sz w:val="21"/>
                      <w:szCs w:val="21"/>
                      <w:lang w:bidi="ar"/>
                    </w:rPr>
                    <w:t>吨标煤</w:t>
                  </w:r>
                  <w:r>
                    <w:rPr>
                      <w:rStyle w:val="font2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r>
                    <w:rPr>
                      <w:rStyle w:val="font21"/>
                      <w:rFonts w:eastAsia="楷体"/>
                      <w:color w:val="auto"/>
                      <w:sz w:val="21"/>
                      <w:szCs w:val="21"/>
                      <w:lang w:bidi="ar"/>
                    </w:rPr>
                    <w:br/>
                  </w:r>
                  <w:r>
                    <w:rPr>
                      <w:rStyle w:val="font41"/>
                      <w:rFonts w:ascii="Times New Roman" w:eastAsia="楷体" w:hAnsi="Times New Roman" w:cs="Times New Roman" w:hint="default"/>
                      <w:color w:val="auto"/>
                      <w:sz w:val="21"/>
                      <w:szCs w:val="21"/>
                      <w:lang w:bidi="ar"/>
                    </w:rPr>
                    <w:t>增效：经济效益</w:t>
                  </w:r>
                  <w:r>
                    <w:rPr>
                      <w:rStyle w:val="font21"/>
                      <w:rFonts w:eastAsia="楷体"/>
                      <w:color w:val="auto"/>
                      <w:sz w:val="21"/>
                      <w:szCs w:val="21"/>
                      <w:lang w:bidi="ar"/>
                    </w:rPr>
                    <w:t>409</w:t>
                  </w:r>
                  <w:r>
                    <w:rPr>
                      <w:rStyle w:val="font41"/>
                      <w:rFonts w:ascii="Times New Roman" w:eastAsia="楷体" w:hAnsi="Times New Roman" w:cs="Times New Roman" w:hint="default"/>
                      <w:color w:val="auto"/>
                      <w:sz w:val="21"/>
                      <w:szCs w:val="21"/>
                      <w:lang w:bidi="ar"/>
                    </w:rPr>
                    <w:t>万</w:t>
                  </w:r>
                  <w:r>
                    <w:rPr>
                      <w:rStyle w:val="font2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p>
              </w:tc>
            </w:tr>
            <w:tr w:rsidR="00C72DBD">
              <w:trPr>
                <w:trHeight w:val="567"/>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43</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白灰回转窑采用新型复合砖技术</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采用新型复合砖，并优化焦炉煤气配比，降低了煤气消耗。</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节能：节能量</w:t>
                  </w:r>
                  <w:r>
                    <w:rPr>
                      <w:rStyle w:val="font21"/>
                      <w:rFonts w:eastAsia="楷体"/>
                      <w:color w:val="auto"/>
                      <w:sz w:val="21"/>
                      <w:szCs w:val="21"/>
                      <w:lang w:bidi="ar"/>
                    </w:rPr>
                    <w:t>252</w:t>
                  </w:r>
                  <w:r>
                    <w:rPr>
                      <w:rStyle w:val="font41"/>
                      <w:rFonts w:ascii="Times New Roman" w:eastAsia="楷体" w:hAnsi="Times New Roman" w:cs="Times New Roman" w:hint="default"/>
                      <w:color w:val="auto"/>
                      <w:sz w:val="21"/>
                      <w:szCs w:val="21"/>
                      <w:lang w:bidi="ar"/>
                    </w:rPr>
                    <w:t>吨标煤</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r>
                    <w:rPr>
                      <w:rStyle w:val="font11"/>
                      <w:rFonts w:eastAsia="楷体"/>
                      <w:color w:val="auto"/>
                      <w:sz w:val="21"/>
                      <w:szCs w:val="21"/>
                      <w:lang w:bidi="ar"/>
                    </w:rPr>
                    <w:br/>
                  </w:r>
                  <w:r>
                    <w:rPr>
                      <w:rStyle w:val="font41"/>
                      <w:rFonts w:ascii="Times New Roman" w:eastAsia="楷体" w:hAnsi="Times New Roman" w:cs="Times New Roman" w:hint="default"/>
                      <w:color w:val="auto"/>
                      <w:sz w:val="21"/>
                      <w:szCs w:val="21"/>
                      <w:lang w:bidi="ar"/>
                    </w:rPr>
                    <w:t>增效：经济效益</w:t>
                  </w:r>
                  <w:r>
                    <w:rPr>
                      <w:rStyle w:val="font21"/>
                      <w:rFonts w:eastAsia="楷体"/>
                      <w:color w:val="auto"/>
                      <w:sz w:val="21"/>
                      <w:szCs w:val="21"/>
                      <w:lang w:bidi="ar"/>
                    </w:rPr>
                    <w:t>563</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p>
              </w:tc>
            </w:tr>
            <w:tr w:rsidR="00C72DBD">
              <w:trPr>
                <w:trHeight w:val="85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44</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白灰焙烧窑头烟气提标改造</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采用四电场静电除尘器</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布袋除尘器双重处理技术，确保烟气达标</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w:t>
                  </w:r>
                  <w:r>
                    <w:rPr>
                      <w:rStyle w:val="font11"/>
                      <w:rFonts w:eastAsia="楷体"/>
                      <w:color w:val="auto"/>
                      <w:sz w:val="21"/>
                      <w:szCs w:val="21"/>
                      <w:lang w:bidi="ar"/>
                    </w:rPr>
                    <w:t>PM</w:t>
                  </w:r>
                  <w:r>
                    <w:rPr>
                      <w:rStyle w:val="font41"/>
                      <w:rFonts w:ascii="Times New Roman" w:eastAsia="楷体" w:hAnsi="Times New Roman" w:cs="Times New Roman" w:hint="default"/>
                      <w:color w:val="auto"/>
                      <w:sz w:val="21"/>
                      <w:szCs w:val="21"/>
                      <w:lang w:bidi="ar"/>
                    </w:rPr>
                    <w:t>去除率大于</w:t>
                  </w:r>
                  <w:r>
                    <w:rPr>
                      <w:rStyle w:val="font11"/>
                      <w:rFonts w:eastAsia="楷体"/>
                      <w:color w:val="auto"/>
                      <w:sz w:val="21"/>
                      <w:szCs w:val="21"/>
                      <w:lang w:bidi="ar"/>
                    </w:rPr>
                    <w:t>99%</w:t>
                  </w:r>
                  <w:r>
                    <w:rPr>
                      <w:rStyle w:val="font41"/>
                      <w:rFonts w:ascii="Times New Roman" w:eastAsia="楷体" w:hAnsi="Times New Roman" w:cs="Times New Roman" w:hint="default"/>
                      <w:color w:val="auto"/>
                      <w:sz w:val="21"/>
                      <w:szCs w:val="21"/>
                      <w:lang w:bidi="ar"/>
                    </w:rPr>
                    <w:t>。</w:t>
                  </w:r>
                </w:p>
              </w:tc>
            </w:tr>
            <w:tr w:rsidR="00C72DBD">
              <w:trPr>
                <w:trHeight w:val="85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45</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白灰烟气低氮燃烧改造</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将回转窑烧嘴改造为低氮燃烧烧嘴，大幅降低</w:t>
                  </w:r>
                  <w:r>
                    <w:rPr>
                      <w:rStyle w:val="font11"/>
                      <w:rFonts w:eastAsia="楷体"/>
                      <w:color w:val="auto"/>
                      <w:sz w:val="21"/>
                      <w:szCs w:val="21"/>
                      <w:lang w:bidi="ar"/>
                    </w:rPr>
                    <w:t>NOx</w:t>
                  </w:r>
                  <w:r>
                    <w:rPr>
                      <w:rStyle w:val="font41"/>
                      <w:rFonts w:ascii="Times New Roman" w:eastAsia="楷体" w:hAnsi="Times New Roman" w:cs="Times New Roman" w:hint="default"/>
                      <w:color w:val="auto"/>
                      <w:sz w:val="21"/>
                      <w:szCs w:val="21"/>
                      <w:lang w:bidi="ar"/>
                    </w:rPr>
                    <w:t>排放。</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w:t>
                  </w:r>
                  <w:r>
                    <w:rPr>
                      <w:rStyle w:val="font11"/>
                      <w:rFonts w:eastAsia="楷体"/>
                      <w:color w:val="auto"/>
                      <w:sz w:val="21"/>
                      <w:szCs w:val="21"/>
                      <w:lang w:bidi="ar"/>
                    </w:rPr>
                    <w:t>NOx</w:t>
                  </w:r>
                  <w:r>
                    <w:rPr>
                      <w:rStyle w:val="font41"/>
                      <w:rFonts w:ascii="Times New Roman" w:eastAsia="楷体" w:hAnsi="Times New Roman" w:cs="Times New Roman" w:hint="default"/>
                      <w:color w:val="auto"/>
                      <w:sz w:val="21"/>
                      <w:szCs w:val="21"/>
                      <w:lang w:bidi="ar"/>
                    </w:rPr>
                    <w:t>排放限值稳定满足超低排放限值。</w:t>
                  </w:r>
                </w:p>
              </w:tc>
            </w:tr>
            <w:tr w:rsidR="00C72DBD">
              <w:trPr>
                <w:trHeight w:val="70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46</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白灰系统封闭提标项目</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所有物料转运点及皮带通廊全部完成高标准密封，减少无组织外排。</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减排：大幅降低无组织外排。</w:t>
                  </w:r>
                </w:p>
              </w:tc>
            </w:tr>
            <w:tr w:rsidR="00C72DBD">
              <w:trPr>
                <w:trHeight w:val="70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47</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白灰系统全工序除尘项目</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白灰上料、出灰、放灰、窑头、窑尾等工序全部配备布袋除尘器。</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减排：各工序</w:t>
                  </w:r>
                  <w:r>
                    <w:rPr>
                      <w:rStyle w:val="font11"/>
                      <w:rFonts w:eastAsia="楷体"/>
                      <w:color w:val="auto"/>
                      <w:sz w:val="21"/>
                      <w:szCs w:val="21"/>
                      <w:lang w:bidi="ar"/>
                    </w:rPr>
                    <w:t>PM</w:t>
                  </w:r>
                  <w:r>
                    <w:rPr>
                      <w:rStyle w:val="font41"/>
                      <w:rFonts w:ascii="Times New Roman" w:eastAsia="楷体" w:hAnsi="Times New Roman" w:cs="Times New Roman" w:hint="default"/>
                      <w:color w:val="auto"/>
                      <w:sz w:val="21"/>
                      <w:szCs w:val="21"/>
                      <w:lang w:bidi="ar"/>
                    </w:rPr>
                    <w:t>去除率大于</w:t>
                  </w:r>
                  <w:r>
                    <w:rPr>
                      <w:rStyle w:val="font11"/>
                      <w:rFonts w:eastAsia="楷体"/>
                      <w:color w:val="auto"/>
                      <w:sz w:val="21"/>
                      <w:szCs w:val="21"/>
                      <w:lang w:bidi="ar"/>
                    </w:rPr>
                    <w:t>99%</w:t>
                  </w:r>
                  <w:r>
                    <w:rPr>
                      <w:rStyle w:val="font41"/>
                      <w:rFonts w:ascii="Times New Roman" w:eastAsia="楷体" w:hAnsi="Times New Roman" w:cs="Times New Roman" w:hint="default"/>
                      <w:color w:val="auto"/>
                      <w:sz w:val="21"/>
                      <w:szCs w:val="21"/>
                      <w:lang w:bidi="ar"/>
                    </w:rPr>
                    <w:t>。</w:t>
                  </w:r>
                </w:p>
              </w:tc>
            </w:tr>
            <w:tr w:rsidR="00C72DBD">
              <w:trPr>
                <w:trHeight w:val="70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48</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白灰回转窑优化燃烧项目</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通过不断摸索，制定看火岗位标准，优化窑内燃烧，控制</w:t>
                  </w:r>
                  <w:r>
                    <w:rPr>
                      <w:rStyle w:val="font11"/>
                      <w:rFonts w:eastAsia="楷体"/>
                      <w:color w:val="auto"/>
                      <w:sz w:val="21"/>
                      <w:szCs w:val="21"/>
                      <w:lang w:bidi="ar"/>
                    </w:rPr>
                    <w:t>CO</w:t>
                  </w:r>
                  <w:r>
                    <w:rPr>
                      <w:rStyle w:val="font41"/>
                      <w:rFonts w:ascii="Times New Roman" w:eastAsia="楷体" w:hAnsi="Times New Roman" w:cs="Times New Roman" w:hint="default"/>
                      <w:color w:val="auto"/>
                      <w:sz w:val="21"/>
                      <w:szCs w:val="21"/>
                      <w:lang w:bidi="ar"/>
                    </w:rPr>
                    <w:t>排放</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减排：白灰焙烧</w:t>
                  </w:r>
                  <w:r>
                    <w:rPr>
                      <w:rStyle w:val="font11"/>
                      <w:rFonts w:eastAsia="楷体"/>
                      <w:color w:val="auto"/>
                      <w:sz w:val="21"/>
                      <w:szCs w:val="21"/>
                      <w:lang w:bidi="ar"/>
                    </w:rPr>
                    <w:t>CO</w:t>
                  </w:r>
                  <w:r>
                    <w:rPr>
                      <w:rStyle w:val="font41"/>
                      <w:rFonts w:ascii="Times New Roman" w:eastAsia="楷体" w:hAnsi="Times New Roman" w:cs="Times New Roman" w:hint="default"/>
                      <w:color w:val="auto"/>
                      <w:sz w:val="21"/>
                      <w:szCs w:val="21"/>
                      <w:lang w:bidi="ar"/>
                    </w:rPr>
                    <w:t>排放低于</w:t>
                  </w:r>
                  <w:r>
                    <w:rPr>
                      <w:rStyle w:val="font11"/>
                      <w:rFonts w:eastAsia="楷体"/>
                      <w:color w:val="auto"/>
                      <w:sz w:val="21"/>
                      <w:szCs w:val="21"/>
                      <w:lang w:bidi="ar"/>
                    </w:rPr>
                    <w:t>1000mg/m</w:t>
                  </w:r>
                  <w:r>
                    <w:rPr>
                      <w:rStyle w:val="font11"/>
                      <w:rFonts w:eastAsia="楷体"/>
                      <w:color w:val="auto"/>
                      <w:sz w:val="21"/>
                      <w:szCs w:val="21"/>
                      <w:vertAlign w:val="superscript"/>
                      <w:lang w:bidi="ar"/>
                    </w:rPr>
                    <w:t>3</w:t>
                  </w:r>
                </w:p>
              </w:tc>
            </w:tr>
            <w:tr w:rsidR="00C72DBD">
              <w:trPr>
                <w:trHeight w:val="70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49</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白灰料场智能天雾项目</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白灰料场顶部全部配备天雾喷头，有效控制装卸过程无组织排放。</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减排：大幅降低无组织外排。</w:t>
                  </w:r>
                </w:p>
              </w:tc>
            </w:tr>
            <w:tr w:rsidR="00C72DBD">
              <w:trPr>
                <w:trHeight w:val="70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50</w:t>
                  </w:r>
                </w:p>
              </w:tc>
              <w:tc>
                <w:tcPr>
                  <w:tcW w:w="600" w:type="dxa"/>
                  <w:vMerge/>
                  <w:tcBorders>
                    <w:left w:val="single" w:sz="4" w:space="0" w:color="000000"/>
                    <w:bottom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成品白灰全密封运输改造</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成品白灰全部采用罐车运输</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减排：大幅降低无组织外排。</w:t>
                  </w:r>
                </w:p>
              </w:tc>
            </w:tr>
            <w:tr w:rsidR="00C72DBD">
              <w:trPr>
                <w:trHeight w:val="128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51</w:t>
                  </w:r>
                </w:p>
              </w:tc>
              <w:tc>
                <w:tcPr>
                  <w:tcW w:w="600" w:type="dxa"/>
                  <w:vMerge w:val="restart"/>
                  <w:tcBorders>
                    <w:top w:val="single" w:sz="4" w:space="0" w:color="000000"/>
                    <w:left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炼钢</w:t>
                  </w: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炼钢蓄热式烘烤装置改造</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烤包过程增设</w:t>
                  </w:r>
                  <w:r>
                    <w:rPr>
                      <w:rStyle w:val="font11"/>
                      <w:rFonts w:eastAsia="楷体"/>
                      <w:color w:val="auto"/>
                      <w:sz w:val="21"/>
                      <w:szCs w:val="21"/>
                      <w:lang w:bidi="ar"/>
                    </w:rPr>
                    <w:t>PLC</w:t>
                  </w:r>
                  <w:r>
                    <w:rPr>
                      <w:rStyle w:val="font41"/>
                      <w:rFonts w:ascii="Times New Roman" w:eastAsia="楷体" w:hAnsi="Times New Roman" w:cs="Times New Roman" w:hint="default"/>
                      <w:color w:val="auto"/>
                      <w:sz w:val="21"/>
                      <w:szCs w:val="21"/>
                      <w:lang w:bidi="ar"/>
                    </w:rPr>
                    <w:t>实现一键控制，升温更快、烤包时间更短、操作控制更方便，煤气节约率大于</w:t>
                  </w:r>
                  <w:r>
                    <w:rPr>
                      <w:rStyle w:val="font11"/>
                      <w:rFonts w:eastAsia="楷体"/>
                      <w:color w:val="auto"/>
                      <w:sz w:val="21"/>
                      <w:szCs w:val="21"/>
                      <w:lang w:bidi="ar"/>
                    </w:rPr>
                    <w:t>30%</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节能：节约高炉煤气量</w:t>
                  </w:r>
                  <w:r>
                    <w:rPr>
                      <w:rStyle w:val="font11"/>
                      <w:rFonts w:eastAsia="楷体"/>
                      <w:color w:val="auto"/>
                      <w:sz w:val="21"/>
                      <w:szCs w:val="21"/>
                      <w:lang w:bidi="ar"/>
                    </w:rPr>
                    <w:t>144</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m</w:t>
                  </w:r>
                  <w:r>
                    <w:rPr>
                      <w:rStyle w:val="font11"/>
                      <w:rFonts w:eastAsia="楷体"/>
                      <w:color w:val="auto"/>
                      <w:sz w:val="21"/>
                      <w:szCs w:val="21"/>
                      <w:vertAlign w:val="superscript"/>
                      <w:lang w:bidi="ar"/>
                    </w:rPr>
                    <w:t>3</w:t>
                  </w:r>
                  <w:r>
                    <w:rPr>
                      <w:rStyle w:val="font41"/>
                      <w:rFonts w:ascii="Times New Roman" w:eastAsia="楷体" w:hAnsi="Times New Roman" w:cs="Times New Roman" w:hint="default"/>
                      <w:color w:val="auto"/>
                      <w:sz w:val="21"/>
                      <w:szCs w:val="21"/>
                      <w:lang w:bidi="ar"/>
                    </w:rPr>
                    <w:t>；节电量</w:t>
                  </w:r>
                  <w:r>
                    <w:rPr>
                      <w:rStyle w:val="font11"/>
                      <w:rFonts w:eastAsia="楷体"/>
                      <w:color w:val="auto"/>
                      <w:sz w:val="21"/>
                      <w:szCs w:val="21"/>
                      <w:lang w:bidi="ar"/>
                    </w:rPr>
                    <w:t>35.2</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kWh/</w:t>
                  </w:r>
                  <w:r>
                    <w:rPr>
                      <w:rStyle w:val="font41"/>
                      <w:rFonts w:ascii="Times New Roman" w:eastAsia="楷体" w:hAnsi="Times New Roman" w:cs="Times New Roman" w:hint="default"/>
                      <w:color w:val="auto"/>
                      <w:sz w:val="21"/>
                      <w:szCs w:val="21"/>
                      <w:lang w:bidi="ar"/>
                    </w:rPr>
                    <w:t>年，节能量</w:t>
                  </w:r>
                  <w:r>
                    <w:rPr>
                      <w:rStyle w:val="font11"/>
                      <w:rFonts w:eastAsia="楷体"/>
                      <w:color w:val="auto"/>
                      <w:sz w:val="21"/>
                      <w:szCs w:val="21"/>
                      <w:lang w:bidi="ar"/>
                    </w:rPr>
                    <w:t>166</w:t>
                  </w:r>
                  <w:r>
                    <w:rPr>
                      <w:rStyle w:val="font41"/>
                      <w:rFonts w:ascii="Times New Roman" w:eastAsia="楷体" w:hAnsi="Times New Roman" w:cs="Times New Roman" w:hint="default"/>
                      <w:color w:val="auto"/>
                      <w:sz w:val="21"/>
                      <w:szCs w:val="21"/>
                      <w:lang w:bidi="ar"/>
                    </w:rPr>
                    <w:t>吨标煤</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r>
                    <w:rPr>
                      <w:rStyle w:val="font11"/>
                      <w:rFonts w:eastAsia="楷体"/>
                      <w:color w:val="auto"/>
                      <w:sz w:val="21"/>
                      <w:szCs w:val="21"/>
                      <w:lang w:bidi="ar"/>
                    </w:rPr>
                    <w:br/>
                  </w:r>
                  <w:r>
                    <w:rPr>
                      <w:rStyle w:val="font41"/>
                      <w:rFonts w:ascii="Times New Roman" w:eastAsia="楷体" w:hAnsi="Times New Roman" w:cs="Times New Roman" w:hint="default"/>
                      <w:color w:val="auto"/>
                      <w:sz w:val="21"/>
                      <w:szCs w:val="21"/>
                      <w:lang w:bidi="ar"/>
                    </w:rPr>
                    <w:t>增效：经济效益</w:t>
                  </w:r>
                  <w:r>
                    <w:rPr>
                      <w:rStyle w:val="font11"/>
                      <w:rFonts w:eastAsia="楷体"/>
                      <w:color w:val="auto"/>
                      <w:sz w:val="21"/>
                      <w:szCs w:val="21"/>
                      <w:lang w:bidi="ar"/>
                    </w:rPr>
                    <w:t>16.8</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p>
              </w:tc>
            </w:tr>
            <w:tr w:rsidR="00C72DBD">
              <w:trPr>
                <w:trHeight w:val="118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52</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转炉二次除尘风机永磁调速改造</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对转炉二次除尘风机永磁调速调速改造</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节能：节电量约</w:t>
                  </w:r>
                  <w:r>
                    <w:rPr>
                      <w:rStyle w:val="font11"/>
                      <w:rFonts w:eastAsia="楷体"/>
                      <w:color w:val="auto"/>
                      <w:sz w:val="21"/>
                      <w:szCs w:val="21"/>
                      <w:lang w:bidi="ar"/>
                    </w:rPr>
                    <w:t>304kWh/</w:t>
                  </w:r>
                  <w:r>
                    <w:rPr>
                      <w:rStyle w:val="font41"/>
                      <w:rFonts w:ascii="Times New Roman" w:eastAsia="楷体" w:hAnsi="Times New Roman" w:cs="Times New Roman" w:hint="default"/>
                      <w:color w:val="auto"/>
                      <w:sz w:val="21"/>
                      <w:szCs w:val="21"/>
                      <w:lang w:bidi="ar"/>
                    </w:rPr>
                    <w:t>年，节能量</w:t>
                  </w:r>
                  <w:r>
                    <w:rPr>
                      <w:rStyle w:val="font11"/>
                      <w:rFonts w:eastAsia="楷体"/>
                      <w:color w:val="auto"/>
                      <w:sz w:val="21"/>
                      <w:szCs w:val="21"/>
                      <w:lang w:bidi="ar"/>
                    </w:rPr>
                    <w:t>187</w:t>
                  </w:r>
                  <w:r>
                    <w:rPr>
                      <w:rStyle w:val="font41"/>
                      <w:rFonts w:ascii="Times New Roman" w:eastAsia="楷体" w:hAnsi="Times New Roman" w:cs="Times New Roman" w:hint="default"/>
                      <w:color w:val="auto"/>
                      <w:sz w:val="21"/>
                      <w:szCs w:val="21"/>
                      <w:lang w:bidi="ar"/>
                    </w:rPr>
                    <w:t>吨标煤</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r>
                    <w:rPr>
                      <w:rStyle w:val="font11"/>
                      <w:rFonts w:eastAsia="楷体"/>
                      <w:color w:val="auto"/>
                      <w:sz w:val="21"/>
                      <w:szCs w:val="21"/>
                      <w:lang w:bidi="ar"/>
                    </w:rPr>
                    <w:br/>
                  </w:r>
                  <w:r>
                    <w:rPr>
                      <w:rStyle w:val="font41"/>
                      <w:rFonts w:ascii="Times New Roman" w:eastAsia="楷体" w:hAnsi="Times New Roman" w:cs="Times New Roman" w:hint="default"/>
                      <w:color w:val="auto"/>
                      <w:sz w:val="21"/>
                      <w:szCs w:val="21"/>
                      <w:lang w:bidi="ar"/>
                    </w:rPr>
                    <w:t>增效：经济效益</w:t>
                  </w:r>
                  <w:r>
                    <w:rPr>
                      <w:rStyle w:val="font11"/>
                      <w:rFonts w:eastAsia="楷体"/>
                      <w:color w:val="auto"/>
                      <w:sz w:val="21"/>
                      <w:szCs w:val="21"/>
                      <w:lang w:bidi="ar"/>
                    </w:rPr>
                    <w:t>70.7</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p>
              </w:tc>
            </w:tr>
            <w:tr w:rsidR="00C72DBD">
              <w:trPr>
                <w:trHeight w:val="164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53</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转炉一次干法除尘</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将转炉一次湿法除尘改造为一次</w:t>
                  </w:r>
                  <w:r>
                    <w:rPr>
                      <w:rStyle w:val="font21"/>
                      <w:rFonts w:eastAsia="楷体"/>
                      <w:color w:val="auto"/>
                      <w:sz w:val="21"/>
                      <w:szCs w:val="21"/>
                      <w:lang w:bidi="ar"/>
                    </w:rPr>
                    <w:t>LT</w:t>
                  </w:r>
                  <w:r>
                    <w:rPr>
                      <w:rStyle w:val="font41"/>
                      <w:rFonts w:ascii="Times New Roman" w:eastAsia="楷体" w:hAnsi="Times New Roman" w:cs="Times New Roman" w:hint="default"/>
                      <w:color w:val="auto"/>
                      <w:sz w:val="21"/>
                      <w:szCs w:val="21"/>
                      <w:lang w:bidi="ar"/>
                    </w:rPr>
                    <w:t>干法除尘，实现转炉一次烟气超低排放的同时，提高了转炉煤气回收率约</w:t>
                  </w:r>
                  <w:r>
                    <w:rPr>
                      <w:rStyle w:val="font11"/>
                      <w:rFonts w:eastAsia="楷体"/>
                      <w:color w:val="auto"/>
                      <w:sz w:val="21"/>
                      <w:szCs w:val="21"/>
                      <w:lang w:bidi="ar"/>
                    </w:rPr>
                    <w:t>3 m</w:t>
                  </w:r>
                  <w:r>
                    <w:rPr>
                      <w:rStyle w:val="font11"/>
                      <w:rFonts w:eastAsia="楷体"/>
                      <w:color w:val="auto"/>
                      <w:sz w:val="21"/>
                      <w:szCs w:val="21"/>
                      <w:vertAlign w:val="superscript"/>
                      <w:lang w:bidi="ar"/>
                    </w:rPr>
                    <w:t>3</w:t>
                  </w:r>
                  <w:r>
                    <w:rPr>
                      <w:rStyle w:val="font11"/>
                      <w:rFonts w:eastAsia="楷体"/>
                      <w:color w:val="auto"/>
                      <w:sz w:val="21"/>
                      <w:szCs w:val="21"/>
                      <w:lang w:bidi="ar"/>
                    </w:rPr>
                    <w:t>/t</w:t>
                  </w:r>
                  <w:r>
                    <w:rPr>
                      <w:rStyle w:val="font41"/>
                      <w:rFonts w:ascii="Times New Roman" w:eastAsia="楷体" w:hAnsi="Times New Roman" w:cs="Times New Roman" w:hint="default"/>
                      <w:color w:val="auto"/>
                      <w:sz w:val="21"/>
                      <w:szCs w:val="21"/>
                      <w:lang w:bidi="ar"/>
                    </w:rPr>
                    <w:t>钢，降低了转炉电耗</w:t>
                  </w:r>
                  <w:r>
                    <w:rPr>
                      <w:rStyle w:val="font11"/>
                      <w:rFonts w:eastAsia="楷体"/>
                      <w:color w:val="auto"/>
                      <w:sz w:val="21"/>
                      <w:szCs w:val="21"/>
                      <w:lang w:bidi="ar"/>
                    </w:rPr>
                    <w:t>4.3kWh/t</w:t>
                  </w:r>
                  <w:r>
                    <w:rPr>
                      <w:rStyle w:val="font41"/>
                      <w:rFonts w:ascii="Times New Roman" w:eastAsia="楷体" w:hAnsi="Times New Roman" w:cs="Times New Roman" w:hint="default"/>
                      <w:color w:val="auto"/>
                      <w:sz w:val="21"/>
                      <w:szCs w:val="21"/>
                      <w:lang w:bidi="ar"/>
                    </w:rPr>
                    <w:t>钢、水耗</w:t>
                  </w:r>
                  <w:r>
                    <w:rPr>
                      <w:rStyle w:val="font11"/>
                      <w:rFonts w:eastAsia="楷体"/>
                      <w:color w:val="auto"/>
                      <w:sz w:val="21"/>
                      <w:szCs w:val="21"/>
                      <w:lang w:bidi="ar"/>
                    </w:rPr>
                    <w:t>0.03t/t</w:t>
                  </w:r>
                  <w:r>
                    <w:rPr>
                      <w:rStyle w:val="font41"/>
                      <w:rFonts w:ascii="Times New Roman" w:eastAsia="楷体" w:hAnsi="Times New Roman" w:cs="Times New Roman" w:hint="default"/>
                      <w:color w:val="auto"/>
                      <w:sz w:val="21"/>
                      <w:szCs w:val="21"/>
                      <w:lang w:bidi="ar"/>
                    </w:rPr>
                    <w:t>钢</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节能：节电量约</w:t>
                  </w:r>
                  <w:r>
                    <w:rPr>
                      <w:rStyle w:val="font11"/>
                      <w:rFonts w:eastAsia="楷体"/>
                      <w:color w:val="auto"/>
                      <w:sz w:val="21"/>
                      <w:szCs w:val="21"/>
                      <w:lang w:bidi="ar"/>
                    </w:rPr>
                    <w:t>825.6</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kWh/</w:t>
                  </w:r>
                  <w:r>
                    <w:rPr>
                      <w:rStyle w:val="font41"/>
                      <w:rFonts w:ascii="Times New Roman" w:eastAsia="楷体" w:hAnsi="Times New Roman" w:cs="Times New Roman" w:hint="default"/>
                      <w:color w:val="auto"/>
                      <w:sz w:val="21"/>
                      <w:szCs w:val="21"/>
                      <w:lang w:bidi="ar"/>
                    </w:rPr>
                    <w:t>年，节能量</w:t>
                  </w:r>
                  <w:r>
                    <w:rPr>
                      <w:rStyle w:val="font11"/>
                      <w:rFonts w:eastAsia="楷体"/>
                      <w:color w:val="auto"/>
                      <w:sz w:val="21"/>
                      <w:szCs w:val="21"/>
                      <w:lang w:bidi="ar"/>
                    </w:rPr>
                    <w:t>927</w:t>
                  </w:r>
                  <w:r>
                    <w:rPr>
                      <w:rStyle w:val="font41"/>
                      <w:rFonts w:ascii="Times New Roman" w:eastAsia="楷体" w:hAnsi="Times New Roman" w:cs="Times New Roman" w:hint="default"/>
                      <w:color w:val="auto"/>
                      <w:sz w:val="21"/>
                      <w:szCs w:val="21"/>
                      <w:lang w:bidi="ar"/>
                    </w:rPr>
                    <w:t>吨标煤</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r>
                    <w:rPr>
                      <w:rStyle w:val="font11"/>
                      <w:rFonts w:eastAsia="楷体"/>
                      <w:color w:val="auto"/>
                      <w:sz w:val="21"/>
                      <w:szCs w:val="21"/>
                      <w:lang w:bidi="ar"/>
                    </w:rPr>
                    <w:br/>
                  </w:r>
                  <w:r>
                    <w:rPr>
                      <w:rStyle w:val="font41"/>
                      <w:rFonts w:ascii="Times New Roman" w:eastAsia="楷体" w:hAnsi="Times New Roman" w:cs="Times New Roman" w:hint="default"/>
                      <w:color w:val="auto"/>
                      <w:sz w:val="21"/>
                      <w:szCs w:val="21"/>
                      <w:lang w:bidi="ar"/>
                    </w:rPr>
                    <w:t>增效：经济效益</w:t>
                  </w:r>
                  <w:r>
                    <w:rPr>
                      <w:rStyle w:val="font21"/>
                      <w:rFonts w:eastAsia="楷体"/>
                      <w:color w:val="auto"/>
                      <w:sz w:val="21"/>
                      <w:szCs w:val="21"/>
                      <w:lang w:bidi="ar"/>
                    </w:rPr>
                    <w:t>1056</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p>
              </w:tc>
            </w:tr>
            <w:tr w:rsidR="00C72DBD">
              <w:trPr>
                <w:trHeight w:val="136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54</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炼钢合金烘烤预处理项目</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实现炉后合金在线加热，可将合金加热到</w:t>
                  </w:r>
                  <w:r>
                    <w:rPr>
                      <w:rStyle w:val="font11"/>
                      <w:rFonts w:eastAsia="楷体"/>
                      <w:color w:val="auto"/>
                      <w:sz w:val="21"/>
                      <w:szCs w:val="21"/>
                      <w:lang w:bidi="ar"/>
                    </w:rPr>
                    <w:t>400-600</w:t>
                  </w:r>
                  <w:r>
                    <w:rPr>
                      <w:rStyle w:val="font41"/>
                      <w:rFonts w:ascii="Times New Roman" w:eastAsia="楷体" w:hAnsi="Times New Roman" w:cs="Times New Roman" w:hint="default"/>
                      <w:color w:val="auto"/>
                      <w:sz w:val="21"/>
                      <w:szCs w:val="21"/>
                      <w:lang w:bidi="ar"/>
                    </w:rPr>
                    <w:t>度，大幅缩短合金加热时间，可降低出钢温度约</w:t>
                  </w:r>
                  <w:r>
                    <w:rPr>
                      <w:rStyle w:val="font11"/>
                      <w:rFonts w:eastAsia="楷体"/>
                      <w:color w:val="auto"/>
                      <w:sz w:val="21"/>
                      <w:szCs w:val="21"/>
                      <w:lang w:bidi="ar"/>
                    </w:rPr>
                    <w:t>7℃</w:t>
                  </w:r>
                  <w:r>
                    <w:rPr>
                      <w:rStyle w:val="font41"/>
                      <w:rFonts w:ascii="Times New Roman" w:eastAsia="楷体" w:hAnsi="Times New Roman" w:cs="Times New Roman" w:hint="default"/>
                      <w:color w:val="auto"/>
                      <w:sz w:val="21"/>
                      <w:szCs w:val="21"/>
                      <w:lang w:bidi="ar"/>
                    </w:rPr>
                    <w:t>，或者可降低铁耗</w:t>
                  </w:r>
                  <w:r>
                    <w:rPr>
                      <w:rStyle w:val="font11"/>
                      <w:rFonts w:eastAsia="楷体"/>
                      <w:color w:val="auto"/>
                      <w:sz w:val="21"/>
                      <w:szCs w:val="21"/>
                      <w:lang w:bidi="ar"/>
                    </w:rPr>
                    <w:t>3kg/t</w:t>
                  </w:r>
                  <w:r>
                    <w:rPr>
                      <w:rStyle w:val="font41"/>
                      <w:rFonts w:ascii="Times New Roman" w:eastAsia="楷体" w:hAnsi="Times New Roman" w:cs="Times New Roman" w:hint="default"/>
                      <w:color w:val="auto"/>
                      <w:sz w:val="21"/>
                      <w:szCs w:val="21"/>
                      <w:lang w:bidi="ar"/>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节能：节能量</w:t>
                  </w:r>
                  <w:r>
                    <w:rPr>
                      <w:rStyle w:val="font21"/>
                      <w:rFonts w:eastAsia="楷体"/>
                      <w:color w:val="auto"/>
                      <w:sz w:val="21"/>
                      <w:szCs w:val="21"/>
                      <w:lang w:bidi="ar"/>
                    </w:rPr>
                    <w:t>3</w:t>
                  </w:r>
                  <w:r>
                    <w:rPr>
                      <w:rStyle w:val="font11"/>
                      <w:rFonts w:eastAsia="楷体"/>
                      <w:color w:val="auto"/>
                      <w:sz w:val="21"/>
                      <w:szCs w:val="21"/>
                      <w:lang w:bidi="ar"/>
                    </w:rPr>
                    <w:t>27</w:t>
                  </w:r>
                  <w:r>
                    <w:rPr>
                      <w:rStyle w:val="font41"/>
                      <w:rFonts w:ascii="Times New Roman" w:eastAsia="楷体" w:hAnsi="Times New Roman" w:cs="Times New Roman" w:hint="default"/>
                      <w:color w:val="auto"/>
                      <w:sz w:val="21"/>
                      <w:szCs w:val="21"/>
                      <w:lang w:bidi="ar"/>
                    </w:rPr>
                    <w:t>吨标煤</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r>
                    <w:rPr>
                      <w:rStyle w:val="font11"/>
                      <w:rFonts w:eastAsia="楷体"/>
                      <w:color w:val="auto"/>
                      <w:sz w:val="21"/>
                      <w:szCs w:val="21"/>
                      <w:lang w:bidi="ar"/>
                    </w:rPr>
                    <w:br/>
                  </w:r>
                  <w:r>
                    <w:rPr>
                      <w:rStyle w:val="font41"/>
                      <w:rFonts w:ascii="Times New Roman" w:eastAsia="楷体" w:hAnsi="Times New Roman" w:cs="Times New Roman" w:hint="default"/>
                      <w:color w:val="auto"/>
                      <w:sz w:val="21"/>
                      <w:szCs w:val="21"/>
                      <w:lang w:bidi="ar"/>
                    </w:rPr>
                    <w:t>增效：经济效益</w:t>
                  </w:r>
                  <w:r>
                    <w:rPr>
                      <w:rStyle w:val="font11"/>
                      <w:rFonts w:eastAsia="楷体"/>
                      <w:color w:val="auto"/>
                      <w:sz w:val="21"/>
                      <w:szCs w:val="21"/>
                      <w:lang w:bidi="ar"/>
                    </w:rPr>
                    <w:t>569</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p>
              </w:tc>
            </w:tr>
            <w:tr w:rsidR="00C72DBD">
              <w:trPr>
                <w:trHeight w:val="162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55</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蓄热式钢包烘烤技术</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无引风、无换向蓄热式钢包烘烤装置，自动烘烤曲线可以进行编译，火焰可达到包底直接烘烤耐材，同等温度目标下烘烤时间小于改造前，节约烘烤煤气</w:t>
                  </w:r>
                  <w:r>
                    <w:rPr>
                      <w:rStyle w:val="font11"/>
                      <w:rFonts w:eastAsia="楷体"/>
                      <w:color w:val="auto"/>
                      <w:sz w:val="21"/>
                      <w:szCs w:val="21"/>
                      <w:lang w:bidi="ar"/>
                    </w:rPr>
                    <w:t>≥30%</w:t>
                  </w:r>
                  <w:r>
                    <w:rPr>
                      <w:rStyle w:val="font41"/>
                      <w:rFonts w:ascii="Times New Roman" w:eastAsia="楷体" w:hAnsi="Times New Roman" w:cs="Times New Roman" w:hint="default"/>
                      <w:color w:val="auto"/>
                      <w:sz w:val="21"/>
                      <w:szCs w:val="21"/>
                      <w:lang w:bidi="ar"/>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节能：节能量</w:t>
                  </w:r>
                  <w:r>
                    <w:rPr>
                      <w:rStyle w:val="font21"/>
                      <w:rFonts w:eastAsia="楷体"/>
                      <w:color w:val="auto"/>
                      <w:sz w:val="21"/>
                      <w:szCs w:val="21"/>
                      <w:lang w:bidi="ar"/>
                    </w:rPr>
                    <w:t>25</w:t>
                  </w:r>
                  <w:r>
                    <w:rPr>
                      <w:rStyle w:val="font11"/>
                      <w:rFonts w:eastAsia="楷体"/>
                      <w:color w:val="auto"/>
                      <w:sz w:val="21"/>
                      <w:szCs w:val="21"/>
                      <w:lang w:bidi="ar"/>
                    </w:rPr>
                    <w:t>7</w:t>
                  </w:r>
                  <w:r>
                    <w:rPr>
                      <w:rStyle w:val="font41"/>
                      <w:rFonts w:ascii="Times New Roman" w:eastAsia="楷体" w:hAnsi="Times New Roman" w:cs="Times New Roman" w:hint="default"/>
                      <w:color w:val="auto"/>
                      <w:sz w:val="21"/>
                      <w:szCs w:val="21"/>
                      <w:lang w:bidi="ar"/>
                    </w:rPr>
                    <w:t>吨标煤</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r>
                    <w:rPr>
                      <w:rStyle w:val="font11"/>
                      <w:rFonts w:eastAsia="楷体"/>
                      <w:color w:val="auto"/>
                      <w:sz w:val="21"/>
                      <w:szCs w:val="21"/>
                      <w:lang w:bidi="ar"/>
                    </w:rPr>
                    <w:br/>
                  </w:r>
                  <w:r>
                    <w:rPr>
                      <w:rStyle w:val="font41"/>
                      <w:rFonts w:ascii="Times New Roman" w:eastAsia="楷体" w:hAnsi="Times New Roman" w:cs="Times New Roman" w:hint="default"/>
                      <w:color w:val="auto"/>
                      <w:sz w:val="21"/>
                      <w:szCs w:val="21"/>
                      <w:lang w:bidi="ar"/>
                    </w:rPr>
                    <w:t>增效：经济效益</w:t>
                  </w:r>
                  <w:r>
                    <w:rPr>
                      <w:rStyle w:val="font21"/>
                      <w:rFonts w:eastAsia="楷体"/>
                      <w:color w:val="auto"/>
                      <w:sz w:val="21"/>
                      <w:szCs w:val="21"/>
                      <w:lang w:bidi="ar"/>
                    </w:rPr>
                    <w:t>315</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p>
              </w:tc>
            </w:tr>
            <w:tr w:rsidR="00C72DBD">
              <w:trPr>
                <w:trHeight w:val="112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56</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转炉一次煤气回收优化改造</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将氧气含量设置为</w:t>
                  </w:r>
                  <w:r>
                    <w:rPr>
                      <w:rStyle w:val="font11"/>
                      <w:rFonts w:eastAsia="楷体"/>
                      <w:color w:val="auto"/>
                      <w:sz w:val="21"/>
                      <w:szCs w:val="21"/>
                      <w:lang w:bidi="ar"/>
                    </w:rPr>
                    <w:t>≤1.5%</w:t>
                  </w:r>
                  <w:r>
                    <w:rPr>
                      <w:rStyle w:val="font41"/>
                      <w:rFonts w:ascii="Times New Roman" w:eastAsia="楷体" w:hAnsi="Times New Roman" w:cs="Times New Roman" w:hint="default"/>
                      <w:color w:val="auto"/>
                      <w:sz w:val="21"/>
                      <w:szCs w:val="21"/>
                      <w:lang w:bidi="ar"/>
                    </w:rPr>
                    <w:t>，取消一氧化碳浓度限制的措施，协同炼钢部转炉一次除尘、动控部煤气回收优化操作。</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节能：转炉煤气平均回收时间提高约</w:t>
                  </w:r>
                  <w:r>
                    <w:rPr>
                      <w:rStyle w:val="font11"/>
                      <w:rFonts w:eastAsia="楷体"/>
                      <w:color w:val="auto"/>
                      <w:sz w:val="21"/>
                      <w:szCs w:val="21"/>
                      <w:lang w:bidi="ar"/>
                    </w:rPr>
                    <w:t>20</w:t>
                  </w:r>
                  <w:r>
                    <w:rPr>
                      <w:rStyle w:val="font41"/>
                      <w:rFonts w:ascii="Times New Roman" w:eastAsia="楷体" w:hAnsi="Times New Roman" w:cs="Times New Roman" w:hint="default"/>
                      <w:color w:val="auto"/>
                      <w:sz w:val="21"/>
                      <w:szCs w:val="21"/>
                      <w:lang w:bidi="ar"/>
                    </w:rPr>
                    <w:t>秒</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炉。</w:t>
                  </w:r>
                </w:p>
              </w:tc>
            </w:tr>
            <w:tr w:rsidR="00C72DBD">
              <w:trPr>
                <w:trHeight w:val="108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57</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转炉一次除尘常明火燃烧技术</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将转炉一次放散点顶部设置长明火，采用焦炉煤气作为燃气介质，有效避免煤气异常放散。</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减排：杜绝转炉煤气异常排放</w:t>
                  </w:r>
                </w:p>
              </w:tc>
            </w:tr>
            <w:tr w:rsidR="00C72DBD">
              <w:trPr>
                <w:trHeight w:val="78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58</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炼钢转炉三级除尘项目</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转炉设置一次、二次、三次多级除尘，确保转炉作业过程所有烟尘全部收集。</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减排：杜绝无组织排放，满足超低排放要求。</w:t>
                  </w:r>
                </w:p>
              </w:tc>
            </w:tr>
            <w:tr w:rsidR="00C72DBD">
              <w:trPr>
                <w:trHeight w:val="794"/>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59</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炼钢系统全工序除尘改造</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炼钢转炉、混铁炉、散装料、连铸等工序均配备高效布袋除尘器</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减排：各工序</w:t>
                  </w:r>
                  <w:r>
                    <w:rPr>
                      <w:rStyle w:val="font11"/>
                      <w:rFonts w:eastAsia="楷体"/>
                      <w:color w:val="auto"/>
                      <w:sz w:val="21"/>
                      <w:szCs w:val="21"/>
                      <w:lang w:bidi="ar"/>
                    </w:rPr>
                    <w:t>PM</w:t>
                  </w:r>
                  <w:r>
                    <w:rPr>
                      <w:rStyle w:val="font41"/>
                      <w:rFonts w:ascii="Times New Roman" w:eastAsia="楷体" w:hAnsi="Times New Roman" w:cs="Times New Roman" w:hint="default"/>
                      <w:color w:val="auto"/>
                      <w:sz w:val="21"/>
                      <w:szCs w:val="21"/>
                      <w:lang w:bidi="ar"/>
                    </w:rPr>
                    <w:t>去除率大于</w:t>
                  </w:r>
                  <w:r>
                    <w:rPr>
                      <w:rStyle w:val="font11"/>
                      <w:rFonts w:eastAsia="楷体"/>
                      <w:color w:val="auto"/>
                      <w:sz w:val="21"/>
                      <w:szCs w:val="21"/>
                      <w:lang w:bidi="ar"/>
                    </w:rPr>
                    <w:t>99%</w:t>
                  </w:r>
                  <w:r>
                    <w:rPr>
                      <w:rStyle w:val="font41"/>
                      <w:rFonts w:ascii="Times New Roman" w:eastAsia="楷体" w:hAnsi="Times New Roman" w:cs="Times New Roman" w:hint="default"/>
                      <w:color w:val="auto"/>
                      <w:sz w:val="21"/>
                      <w:szCs w:val="21"/>
                      <w:lang w:bidi="ar"/>
                    </w:rPr>
                    <w:t>。</w:t>
                  </w:r>
                </w:p>
              </w:tc>
            </w:tr>
            <w:tr w:rsidR="00C72DBD">
              <w:trPr>
                <w:trHeight w:val="794"/>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60</w:t>
                  </w:r>
                </w:p>
              </w:tc>
              <w:tc>
                <w:tcPr>
                  <w:tcW w:w="600" w:type="dxa"/>
                  <w:vMerge/>
                  <w:tcBorders>
                    <w:left w:val="single" w:sz="4" w:space="0" w:color="000000"/>
                    <w:bottom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钢渣热焖处理技术</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出炉钢渣采用热焖处理，副产品进行回用和外售，全部回用。</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减排：杜绝固废外排，全部回用。</w:t>
                  </w:r>
                </w:p>
              </w:tc>
            </w:tr>
            <w:tr w:rsidR="00C72DBD">
              <w:trPr>
                <w:trHeight w:val="192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61</w:t>
                  </w:r>
                </w:p>
              </w:tc>
              <w:tc>
                <w:tcPr>
                  <w:tcW w:w="600" w:type="dxa"/>
                  <w:vMerge w:val="restart"/>
                  <w:tcBorders>
                    <w:top w:val="single" w:sz="4" w:space="0" w:color="000000"/>
                    <w:left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轧钢</w:t>
                  </w: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轧钢加热炉智能化燃烧改造</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加热炉实现全自动优化烧炉自控率达到</w:t>
                  </w:r>
                  <w:r>
                    <w:rPr>
                      <w:rStyle w:val="font11"/>
                      <w:rFonts w:eastAsia="楷体"/>
                      <w:color w:val="auto"/>
                      <w:sz w:val="21"/>
                      <w:szCs w:val="21"/>
                      <w:lang w:bidi="ar"/>
                    </w:rPr>
                    <w:t>90%</w:t>
                  </w:r>
                  <w:r>
                    <w:rPr>
                      <w:rStyle w:val="font41"/>
                      <w:rFonts w:ascii="Times New Roman" w:eastAsia="楷体" w:hAnsi="Times New Roman" w:cs="Times New Roman" w:hint="default"/>
                      <w:color w:val="auto"/>
                      <w:sz w:val="21"/>
                      <w:szCs w:val="21"/>
                      <w:lang w:bidi="ar"/>
                    </w:rPr>
                    <w:t>以上，在此基础上实现加热炉煤气和助燃风、控制点的三维优化，降低</w:t>
                  </w:r>
                  <w:r>
                    <w:rPr>
                      <w:rStyle w:val="font11"/>
                      <w:rFonts w:eastAsia="楷体"/>
                      <w:color w:val="auto"/>
                      <w:sz w:val="21"/>
                      <w:szCs w:val="21"/>
                      <w:lang w:bidi="ar"/>
                    </w:rPr>
                    <w:t>NOx</w:t>
                  </w:r>
                  <w:r>
                    <w:rPr>
                      <w:rStyle w:val="font41"/>
                      <w:rFonts w:ascii="Times New Roman" w:eastAsia="楷体" w:hAnsi="Times New Roman" w:cs="Times New Roman" w:hint="default"/>
                      <w:color w:val="auto"/>
                      <w:sz w:val="21"/>
                      <w:szCs w:val="21"/>
                      <w:lang w:bidi="ar"/>
                    </w:rPr>
                    <w:t>排放浓度，煤气单耗下降幅度＞</w:t>
                  </w:r>
                  <w:r>
                    <w:rPr>
                      <w:rStyle w:val="font11"/>
                      <w:rFonts w:eastAsia="楷体"/>
                      <w:color w:val="auto"/>
                      <w:sz w:val="21"/>
                      <w:szCs w:val="21"/>
                      <w:lang w:bidi="ar"/>
                    </w:rPr>
                    <w:t>4%</w:t>
                  </w:r>
                  <w:r>
                    <w:rPr>
                      <w:rStyle w:val="font41"/>
                      <w:rFonts w:ascii="Times New Roman" w:eastAsia="楷体" w:hAnsi="Times New Roman" w:cs="Times New Roman" w:hint="default"/>
                      <w:color w:val="auto"/>
                      <w:sz w:val="21"/>
                      <w:szCs w:val="21"/>
                      <w:lang w:bidi="ar"/>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节能：年节省高炉煤气</w:t>
                  </w:r>
                  <w:r>
                    <w:rPr>
                      <w:rStyle w:val="font11"/>
                      <w:rFonts w:eastAsia="楷体"/>
                      <w:color w:val="auto"/>
                      <w:sz w:val="21"/>
                      <w:szCs w:val="21"/>
                      <w:lang w:bidi="ar"/>
                    </w:rPr>
                    <w:t>1232</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m</w:t>
                  </w:r>
                  <w:r>
                    <w:rPr>
                      <w:rStyle w:val="font11"/>
                      <w:rFonts w:eastAsia="楷体"/>
                      <w:color w:val="auto"/>
                      <w:sz w:val="21"/>
                      <w:szCs w:val="21"/>
                      <w:vertAlign w:val="superscript"/>
                      <w:lang w:bidi="ar"/>
                    </w:rPr>
                    <w:t>3</w:t>
                  </w:r>
                  <w:r>
                    <w:rPr>
                      <w:rStyle w:val="font41"/>
                      <w:rFonts w:ascii="Times New Roman" w:eastAsia="楷体" w:hAnsi="Times New Roman" w:cs="Times New Roman" w:hint="default"/>
                      <w:color w:val="auto"/>
                      <w:sz w:val="21"/>
                      <w:szCs w:val="21"/>
                      <w:lang w:bidi="ar"/>
                    </w:rPr>
                    <w:t>，年节电量</w:t>
                  </w:r>
                  <w:r>
                    <w:rPr>
                      <w:rStyle w:val="font11"/>
                      <w:rFonts w:eastAsia="楷体"/>
                      <w:color w:val="auto"/>
                      <w:sz w:val="21"/>
                      <w:szCs w:val="21"/>
                      <w:lang w:bidi="ar"/>
                    </w:rPr>
                    <w:t>324</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kWh</w:t>
                  </w:r>
                  <w:r>
                    <w:rPr>
                      <w:rStyle w:val="font41"/>
                      <w:rFonts w:ascii="Times New Roman" w:eastAsia="楷体" w:hAnsi="Times New Roman" w:cs="Times New Roman" w:hint="default"/>
                      <w:color w:val="auto"/>
                      <w:sz w:val="21"/>
                      <w:szCs w:val="21"/>
                      <w:lang w:bidi="ar"/>
                    </w:rPr>
                    <w:t>，节能量</w:t>
                  </w:r>
                  <w:r>
                    <w:rPr>
                      <w:rStyle w:val="font11"/>
                      <w:rFonts w:eastAsia="楷体"/>
                      <w:color w:val="auto"/>
                      <w:sz w:val="21"/>
                      <w:szCs w:val="21"/>
                      <w:lang w:bidi="ar"/>
                    </w:rPr>
                    <w:t>1417</w:t>
                  </w:r>
                  <w:r>
                    <w:rPr>
                      <w:rStyle w:val="font41"/>
                      <w:rFonts w:ascii="Times New Roman" w:eastAsia="楷体" w:hAnsi="Times New Roman" w:cs="Times New Roman" w:hint="default"/>
                      <w:color w:val="auto"/>
                      <w:sz w:val="21"/>
                      <w:szCs w:val="21"/>
                      <w:lang w:bidi="ar"/>
                    </w:rPr>
                    <w:t>吨标煤</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r>
                    <w:rPr>
                      <w:rStyle w:val="font11"/>
                      <w:rFonts w:eastAsia="楷体"/>
                      <w:color w:val="auto"/>
                      <w:sz w:val="21"/>
                      <w:szCs w:val="21"/>
                      <w:lang w:bidi="ar"/>
                    </w:rPr>
                    <w:br/>
                  </w:r>
                  <w:r>
                    <w:rPr>
                      <w:rStyle w:val="font41"/>
                      <w:rFonts w:ascii="Times New Roman" w:eastAsia="楷体" w:hAnsi="Times New Roman" w:cs="Times New Roman" w:hint="default"/>
                      <w:color w:val="auto"/>
                      <w:sz w:val="21"/>
                      <w:szCs w:val="21"/>
                      <w:lang w:bidi="ar"/>
                    </w:rPr>
                    <w:t>减污：</w:t>
                  </w:r>
                  <w:r>
                    <w:rPr>
                      <w:rStyle w:val="font11"/>
                      <w:rFonts w:eastAsia="楷体"/>
                      <w:color w:val="auto"/>
                      <w:sz w:val="21"/>
                      <w:szCs w:val="21"/>
                      <w:lang w:bidi="ar"/>
                    </w:rPr>
                    <w:t>NOx</w:t>
                  </w:r>
                  <w:r>
                    <w:rPr>
                      <w:rStyle w:val="font41"/>
                      <w:rFonts w:ascii="Times New Roman" w:eastAsia="楷体" w:hAnsi="Times New Roman" w:cs="Times New Roman" w:hint="default"/>
                      <w:color w:val="auto"/>
                      <w:sz w:val="21"/>
                      <w:szCs w:val="21"/>
                      <w:lang w:bidi="ar"/>
                    </w:rPr>
                    <w:t>排放量降低</w:t>
                  </w:r>
                  <w:r>
                    <w:rPr>
                      <w:rStyle w:val="font11"/>
                      <w:rFonts w:eastAsia="楷体"/>
                      <w:color w:val="auto"/>
                      <w:sz w:val="21"/>
                      <w:szCs w:val="21"/>
                      <w:lang w:bidi="ar"/>
                    </w:rPr>
                    <w:t>63%</w:t>
                  </w:r>
                  <w:r>
                    <w:rPr>
                      <w:rStyle w:val="font41"/>
                      <w:rFonts w:ascii="Times New Roman" w:eastAsia="楷体" w:hAnsi="Times New Roman" w:cs="Times New Roman" w:hint="default"/>
                      <w:color w:val="auto"/>
                      <w:sz w:val="21"/>
                      <w:szCs w:val="21"/>
                      <w:lang w:bidi="ar"/>
                    </w:rPr>
                    <w:t>，</w:t>
                  </w:r>
                  <w:r>
                    <w:rPr>
                      <w:rStyle w:val="font11"/>
                      <w:rFonts w:eastAsia="楷体"/>
                      <w:color w:val="auto"/>
                      <w:sz w:val="21"/>
                      <w:szCs w:val="21"/>
                      <w:lang w:bidi="ar"/>
                    </w:rPr>
                    <w:t>CO</w:t>
                  </w:r>
                  <w:r>
                    <w:rPr>
                      <w:rStyle w:val="font41"/>
                      <w:rFonts w:ascii="Times New Roman" w:eastAsia="楷体" w:hAnsi="Times New Roman" w:cs="Times New Roman" w:hint="default"/>
                      <w:color w:val="auto"/>
                      <w:sz w:val="21"/>
                      <w:szCs w:val="21"/>
                      <w:lang w:bidi="ar"/>
                    </w:rPr>
                    <w:t>排放量降低</w:t>
                  </w:r>
                  <w:r>
                    <w:rPr>
                      <w:rStyle w:val="font11"/>
                      <w:rFonts w:eastAsia="楷体"/>
                      <w:color w:val="auto"/>
                      <w:sz w:val="21"/>
                      <w:szCs w:val="21"/>
                      <w:lang w:bidi="ar"/>
                    </w:rPr>
                    <w:t>80%</w:t>
                  </w:r>
                  <w:r>
                    <w:rPr>
                      <w:rStyle w:val="font11"/>
                      <w:rFonts w:eastAsia="楷体"/>
                      <w:color w:val="auto"/>
                      <w:sz w:val="21"/>
                      <w:szCs w:val="21"/>
                      <w:lang w:bidi="ar"/>
                    </w:rPr>
                    <w:br/>
                  </w:r>
                  <w:r>
                    <w:rPr>
                      <w:rStyle w:val="font41"/>
                      <w:rFonts w:ascii="Times New Roman" w:eastAsia="楷体" w:hAnsi="Times New Roman" w:cs="Times New Roman" w:hint="default"/>
                      <w:color w:val="auto"/>
                      <w:sz w:val="21"/>
                      <w:szCs w:val="21"/>
                      <w:lang w:bidi="ar"/>
                    </w:rPr>
                    <w:t>增效：经济效益</w:t>
                  </w:r>
                  <w:r>
                    <w:rPr>
                      <w:rStyle w:val="font11"/>
                      <w:rFonts w:eastAsia="楷体"/>
                      <w:color w:val="auto"/>
                      <w:sz w:val="21"/>
                      <w:szCs w:val="21"/>
                      <w:lang w:bidi="ar"/>
                    </w:rPr>
                    <w:t>155</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p>
              </w:tc>
            </w:tr>
            <w:tr w:rsidR="00C72DBD">
              <w:trPr>
                <w:trHeight w:val="1417"/>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62</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轧钢加热炉双蓄热燃烧技术</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采用空气、煤气双预热工艺，全部使用低热值高炉煤气，利用加热炉烟气余热，工序能耗降低</w:t>
                  </w:r>
                  <w:r>
                    <w:rPr>
                      <w:rStyle w:val="font11"/>
                      <w:rFonts w:eastAsia="楷体"/>
                      <w:color w:val="auto"/>
                      <w:sz w:val="21"/>
                      <w:szCs w:val="21"/>
                      <w:lang w:bidi="ar"/>
                    </w:rPr>
                    <w:t>19 kgce/t</w:t>
                  </w:r>
                  <w:r>
                    <w:rPr>
                      <w:rStyle w:val="font41"/>
                      <w:rFonts w:ascii="Times New Roman" w:eastAsia="楷体" w:hAnsi="Times New Roman" w:cs="Times New Roman" w:hint="default"/>
                      <w:color w:val="auto"/>
                      <w:sz w:val="21"/>
                      <w:szCs w:val="21"/>
                      <w:lang w:bidi="ar"/>
                    </w:rPr>
                    <w:t>材，提高工序二次能源利用率。</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节能：节能量</w:t>
                  </w:r>
                  <w:r>
                    <w:rPr>
                      <w:rStyle w:val="font11"/>
                      <w:rFonts w:eastAsia="楷体"/>
                      <w:color w:val="auto"/>
                      <w:sz w:val="21"/>
                      <w:szCs w:val="21"/>
                      <w:lang w:bidi="ar"/>
                    </w:rPr>
                    <w:t>364.8</w:t>
                  </w:r>
                  <w:r>
                    <w:rPr>
                      <w:rStyle w:val="font41"/>
                      <w:rFonts w:ascii="Times New Roman" w:eastAsia="楷体" w:hAnsi="Times New Roman" w:cs="Times New Roman" w:hint="default"/>
                      <w:color w:val="auto"/>
                      <w:sz w:val="21"/>
                      <w:szCs w:val="21"/>
                      <w:lang w:bidi="ar"/>
                    </w:rPr>
                    <w:t>吨标煤</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r>
                    <w:rPr>
                      <w:rStyle w:val="font11"/>
                      <w:rFonts w:eastAsia="楷体"/>
                      <w:color w:val="auto"/>
                      <w:sz w:val="21"/>
                      <w:szCs w:val="21"/>
                      <w:lang w:bidi="ar"/>
                    </w:rPr>
                    <w:br/>
                  </w:r>
                  <w:r>
                    <w:rPr>
                      <w:rStyle w:val="font41"/>
                      <w:rFonts w:ascii="Times New Roman" w:eastAsia="楷体" w:hAnsi="Times New Roman" w:cs="Times New Roman" w:hint="default"/>
                      <w:color w:val="auto"/>
                      <w:sz w:val="21"/>
                      <w:szCs w:val="21"/>
                      <w:lang w:bidi="ar"/>
                    </w:rPr>
                    <w:t>增效：经济效益</w:t>
                  </w:r>
                  <w:r>
                    <w:rPr>
                      <w:rStyle w:val="font21"/>
                      <w:rFonts w:eastAsia="楷体"/>
                      <w:color w:val="auto"/>
                      <w:sz w:val="21"/>
                      <w:szCs w:val="21"/>
                      <w:lang w:bidi="ar"/>
                    </w:rPr>
                    <w:t>78.5</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p>
              </w:tc>
            </w:tr>
            <w:tr w:rsidR="00C72DBD">
              <w:trPr>
                <w:trHeight w:val="85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63</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钢轧热送热装应用</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钢坯热送热装应用，降低轧钢加热炉煤气消耗，降低热轧工序能耗。</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热装温度：</w:t>
                  </w:r>
                  <w:r>
                    <w:rPr>
                      <w:rStyle w:val="font11"/>
                      <w:rFonts w:eastAsia="楷体"/>
                      <w:color w:val="auto"/>
                      <w:sz w:val="21"/>
                      <w:szCs w:val="21"/>
                      <w:lang w:bidi="ar"/>
                    </w:rPr>
                    <w:t>500℃</w:t>
                  </w:r>
                  <w:r>
                    <w:rPr>
                      <w:rStyle w:val="font11"/>
                      <w:rFonts w:eastAsia="楷体"/>
                      <w:color w:val="auto"/>
                      <w:sz w:val="21"/>
                      <w:szCs w:val="21"/>
                      <w:lang w:bidi="ar"/>
                    </w:rPr>
                    <w:br/>
                  </w:r>
                  <w:r>
                    <w:rPr>
                      <w:rStyle w:val="font11"/>
                      <w:rFonts w:eastAsia="楷体"/>
                      <w:color w:val="auto"/>
                      <w:sz w:val="21"/>
                      <w:szCs w:val="21"/>
                      <w:lang w:bidi="ar"/>
                    </w:rPr>
                    <w:t>热装比</w:t>
                  </w:r>
                  <w:r>
                    <w:rPr>
                      <w:rStyle w:val="font41"/>
                      <w:rFonts w:ascii="Times New Roman" w:eastAsia="楷体" w:hAnsi="Times New Roman" w:cs="Times New Roman" w:hint="default"/>
                      <w:color w:val="auto"/>
                      <w:sz w:val="21"/>
                      <w:szCs w:val="21"/>
                      <w:lang w:bidi="ar"/>
                    </w:rPr>
                    <w:t>：</w:t>
                  </w:r>
                  <w:r>
                    <w:rPr>
                      <w:rStyle w:val="font11"/>
                      <w:rFonts w:eastAsia="楷体"/>
                      <w:color w:val="auto"/>
                      <w:sz w:val="21"/>
                      <w:szCs w:val="21"/>
                      <w:lang w:bidi="ar"/>
                    </w:rPr>
                    <w:t>65%</w:t>
                  </w:r>
                </w:p>
              </w:tc>
            </w:tr>
            <w:tr w:rsidR="00C72DBD">
              <w:trPr>
                <w:trHeight w:val="162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64</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加热炉煤气反吹技术改造</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改造加热炉煤气三通阀，采用煤气反吹技术，煤气烟气反吹将煤烟总管中的烟气，反吹到各供热段换向阀位置，在每个供热段煤烟系统排烟前先用此烟气将换向盲区中的煤气吹到炉内燃烧。</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w:t>
                  </w:r>
                  <w:r>
                    <w:rPr>
                      <w:rStyle w:val="font11"/>
                      <w:rFonts w:eastAsia="楷体"/>
                      <w:color w:val="auto"/>
                      <w:sz w:val="21"/>
                      <w:szCs w:val="21"/>
                      <w:lang w:bidi="ar"/>
                    </w:rPr>
                    <w:t>CO</w:t>
                  </w:r>
                  <w:r>
                    <w:rPr>
                      <w:rStyle w:val="font41"/>
                      <w:rFonts w:ascii="Times New Roman" w:eastAsia="楷体" w:hAnsi="Times New Roman" w:cs="Times New Roman" w:hint="default"/>
                      <w:color w:val="auto"/>
                      <w:sz w:val="21"/>
                      <w:szCs w:val="21"/>
                      <w:lang w:bidi="ar"/>
                    </w:rPr>
                    <w:t>减排率达</w:t>
                  </w:r>
                  <w:r>
                    <w:rPr>
                      <w:rStyle w:val="font21"/>
                      <w:rFonts w:eastAsia="楷体"/>
                      <w:color w:val="auto"/>
                      <w:sz w:val="21"/>
                      <w:szCs w:val="21"/>
                      <w:lang w:bidi="ar"/>
                    </w:rPr>
                    <w:t>80%</w:t>
                  </w:r>
                  <w:r>
                    <w:rPr>
                      <w:rStyle w:val="font41"/>
                      <w:rFonts w:ascii="Times New Roman" w:eastAsia="楷体" w:hAnsi="Times New Roman" w:cs="Times New Roman" w:hint="default"/>
                      <w:color w:val="auto"/>
                      <w:sz w:val="21"/>
                      <w:szCs w:val="21"/>
                      <w:lang w:bidi="ar"/>
                    </w:rPr>
                    <w:t>以上</w:t>
                  </w:r>
                </w:p>
              </w:tc>
            </w:tr>
            <w:tr w:rsidR="00C72DBD">
              <w:trPr>
                <w:trHeight w:val="1417"/>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65</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加热炉炉内脱硝低氮燃烧改造</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在加热炉内采用烟气再循环</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精细调试技术，通过烟气再循环，降低着火初期氧含量，减少燃烧的局部高温区，降低</w:t>
                  </w:r>
                  <w:r>
                    <w:rPr>
                      <w:rStyle w:val="font11"/>
                      <w:rFonts w:eastAsia="楷体"/>
                      <w:color w:val="auto"/>
                      <w:sz w:val="21"/>
                      <w:szCs w:val="21"/>
                      <w:lang w:bidi="ar"/>
                    </w:rPr>
                    <w:t>NOx</w:t>
                  </w:r>
                  <w:r>
                    <w:rPr>
                      <w:rStyle w:val="font41"/>
                      <w:rFonts w:ascii="Times New Roman" w:eastAsia="楷体" w:hAnsi="Times New Roman" w:cs="Times New Roman" w:hint="default"/>
                      <w:color w:val="auto"/>
                      <w:sz w:val="21"/>
                      <w:szCs w:val="21"/>
                      <w:lang w:bidi="ar"/>
                    </w:rPr>
                    <w:t>原始排放值。</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w:t>
                  </w:r>
                  <w:r>
                    <w:rPr>
                      <w:rStyle w:val="font21"/>
                      <w:rFonts w:eastAsia="楷体"/>
                      <w:color w:val="auto"/>
                      <w:sz w:val="21"/>
                      <w:szCs w:val="21"/>
                      <w:lang w:bidi="ar"/>
                    </w:rPr>
                    <w:t>NOx</w:t>
                  </w:r>
                  <w:r>
                    <w:rPr>
                      <w:rStyle w:val="font41"/>
                      <w:rFonts w:ascii="Times New Roman" w:eastAsia="楷体" w:hAnsi="Times New Roman" w:cs="Times New Roman" w:hint="default"/>
                      <w:color w:val="auto"/>
                      <w:sz w:val="21"/>
                      <w:szCs w:val="21"/>
                      <w:lang w:bidi="ar"/>
                    </w:rPr>
                    <w:t>减排率达</w:t>
                  </w:r>
                  <w:r>
                    <w:rPr>
                      <w:rStyle w:val="font21"/>
                      <w:rFonts w:eastAsia="楷体"/>
                      <w:color w:val="auto"/>
                      <w:sz w:val="21"/>
                      <w:szCs w:val="21"/>
                      <w:lang w:bidi="ar"/>
                    </w:rPr>
                    <w:t>80%</w:t>
                  </w:r>
                  <w:r>
                    <w:rPr>
                      <w:rStyle w:val="font41"/>
                      <w:rFonts w:ascii="Times New Roman" w:eastAsia="楷体" w:hAnsi="Times New Roman" w:cs="Times New Roman" w:hint="default"/>
                      <w:color w:val="auto"/>
                      <w:sz w:val="21"/>
                      <w:szCs w:val="21"/>
                      <w:lang w:bidi="ar"/>
                    </w:rPr>
                    <w:t>以上</w:t>
                  </w:r>
                  <w:r>
                    <w:rPr>
                      <w:rStyle w:val="font2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稳定满足超低排放限值</w:t>
                  </w:r>
                </w:p>
              </w:tc>
            </w:tr>
            <w:tr w:rsidR="00C72DBD">
              <w:trPr>
                <w:trHeight w:val="130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66</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轧钢废油桶清洁回吃应用</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轧钢工序润滑油用量大，废油桶产生量大，通过清洁内壁费用，将废油桶剪切等措施，回用至炼钢转炉，有效降低危废出厂量。</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减排：减少危废量</w:t>
                  </w:r>
                  <w:r>
                    <w:rPr>
                      <w:rStyle w:val="font11"/>
                      <w:rFonts w:eastAsia="楷体"/>
                      <w:color w:val="auto"/>
                      <w:sz w:val="21"/>
                      <w:szCs w:val="21"/>
                      <w:lang w:bidi="ar"/>
                    </w:rPr>
                    <w:br/>
                  </w:r>
                  <w:r>
                    <w:rPr>
                      <w:rStyle w:val="font41"/>
                      <w:rFonts w:ascii="Times New Roman" w:eastAsia="楷体" w:hAnsi="Times New Roman" w:cs="Times New Roman" w:hint="default"/>
                      <w:color w:val="auto"/>
                      <w:sz w:val="21"/>
                      <w:szCs w:val="21"/>
                      <w:lang w:bidi="ar"/>
                    </w:rPr>
                    <w:t>增效：经济效益</w:t>
                  </w:r>
                  <w:r>
                    <w:rPr>
                      <w:rStyle w:val="font21"/>
                      <w:rFonts w:eastAsia="楷体"/>
                      <w:color w:val="auto"/>
                      <w:sz w:val="21"/>
                      <w:szCs w:val="21"/>
                      <w:lang w:bidi="ar"/>
                    </w:rPr>
                    <w:t>37</w:t>
                  </w:r>
                  <w:r>
                    <w:rPr>
                      <w:rStyle w:val="font41"/>
                      <w:rFonts w:ascii="Times New Roman" w:eastAsia="楷体" w:hAnsi="Times New Roman" w:cs="Times New Roman" w:hint="default"/>
                      <w:color w:val="auto"/>
                      <w:sz w:val="21"/>
                      <w:szCs w:val="21"/>
                      <w:lang w:bidi="ar"/>
                    </w:rPr>
                    <w:t>万</w:t>
                  </w:r>
                  <w:r>
                    <w:rPr>
                      <w:rStyle w:val="font2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p>
              </w:tc>
            </w:tr>
            <w:tr w:rsidR="00C72DBD">
              <w:trPr>
                <w:trHeight w:val="88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67</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31"/>
                      <w:rFonts w:ascii="Times New Roman" w:eastAsia="楷体" w:hAnsi="Times New Roman" w:cs="Times New Roman" w:hint="default"/>
                      <w:color w:val="auto"/>
                      <w:sz w:val="21"/>
                      <w:szCs w:val="21"/>
                      <w:lang w:bidi="ar"/>
                    </w:rPr>
                    <w:t>轧钢车间全封闭项目</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31"/>
                      <w:rFonts w:ascii="Times New Roman" w:eastAsia="楷体" w:hAnsi="Times New Roman" w:cs="Times New Roman" w:hint="default"/>
                      <w:color w:val="auto"/>
                      <w:sz w:val="21"/>
                      <w:szCs w:val="21"/>
                      <w:lang w:bidi="ar"/>
                    </w:rPr>
                    <w:t>对轧钢车间进行修补封闭，减少无组织外排</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31"/>
                      <w:rFonts w:ascii="Times New Roman" w:eastAsia="楷体" w:hAnsi="Times New Roman" w:cs="Times New Roman" w:hint="default"/>
                      <w:color w:val="auto"/>
                      <w:sz w:val="21"/>
                      <w:szCs w:val="21"/>
                      <w:lang w:bidi="ar"/>
                    </w:rPr>
                    <w:t>减排：降低无组织外排。</w:t>
                  </w:r>
                </w:p>
              </w:tc>
            </w:tr>
            <w:tr w:rsidR="00C72DBD">
              <w:trPr>
                <w:trHeight w:val="85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68</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31"/>
                      <w:rFonts w:ascii="Times New Roman" w:eastAsia="楷体" w:hAnsi="Times New Roman" w:cs="Times New Roman" w:hint="default"/>
                      <w:color w:val="auto"/>
                      <w:sz w:val="21"/>
                      <w:szCs w:val="21"/>
                      <w:lang w:bidi="ar"/>
                    </w:rPr>
                    <w:t>轧钢废水处理循环项目</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31"/>
                      <w:rFonts w:ascii="Times New Roman" w:eastAsia="楷体" w:hAnsi="Times New Roman" w:cs="Times New Roman" w:hint="default"/>
                      <w:color w:val="auto"/>
                      <w:sz w:val="21"/>
                      <w:szCs w:val="21"/>
                      <w:lang w:bidi="ar"/>
                    </w:rPr>
                    <w:t>采用旋流井处理轧钢废水，经公司多级处理后全部回用。</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31"/>
                      <w:rFonts w:ascii="Times New Roman" w:eastAsia="楷体" w:hAnsi="Times New Roman" w:cs="Times New Roman" w:hint="default"/>
                      <w:color w:val="auto"/>
                      <w:sz w:val="21"/>
                      <w:szCs w:val="21"/>
                      <w:lang w:bidi="ar"/>
                    </w:rPr>
                    <w:t>减排：加强水利用率，杜绝外排。</w:t>
                  </w:r>
                </w:p>
              </w:tc>
            </w:tr>
            <w:tr w:rsidR="00C72DBD">
              <w:trPr>
                <w:trHeight w:val="85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69</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31"/>
                      <w:rFonts w:ascii="Times New Roman" w:eastAsia="楷体" w:hAnsi="Times New Roman" w:cs="Times New Roman" w:hint="default"/>
                      <w:color w:val="auto"/>
                      <w:sz w:val="21"/>
                      <w:szCs w:val="21"/>
                      <w:lang w:bidi="ar"/>
                    </w:rPr>
                    <w:t>轧线高效除尘改造项目</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31"/>
                      <w:rFonts w:ascii="Times New Roman" w:eastAsia="楷体" w:hAnsi="Times New Roman" w:cs="Times New Roman" w:hint="default"/>
                      <w:color w:val="auto"/>
                      <w:sz w:val="21"/>
                      <w:szCs w:val="21"/>
                      <w:lang w:bidi="ar"/>
                    </w:rPr>
                    <w:t>轧线所有产尘点均配备除尘，使用高效塑烧板收尘</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减排：各工序</w:t>
                  </w:r>
                  <w:r>
                    <w:rPr>
                      <w:rStyle w:val="font11"/>
                      <w:rFonts w:eastAsia="楷体"/>
                      <w:color w:val="auto"/>
                      <w:sz w:val="21"/>
                      <w:szCs w:val="21"/>
                      <w:lang w:bidi="ar"/>
                    </w:rPr>
                    <w:t>PM</w:t>
                  </w:r>
                  <w:r>
                    <w:rPr>
                      <w:rStyle w:val="font41"/>
                      <w:rFonts w:ascii="Times New Roman" w:eastAsia="楷体" w:hAnsi="Times New Roman" w:cs="Times New Roman" w:hint="default"/>
                      <w:color w:val="auto"/>
                      <w:sz w:val="21"/>
                      <w:szCs w:val="21"/>
                      <w:lang w:bidi="ar"/>
                    </w:rPr>
                    <w:t>去除率大于</w:t>
                  </w:r>
                  <w:r>
                    <w:rPr>
                      <w:rStyle w:val="font11"/>
                      <w:rFonts w:eastAsia="楷体"/>
                      <w:color w:val="auto"/>
                      <w:sz w:val="21"/>
                      <w:szCs w:val="21"/>
                      <w:lang w:bidi="ar"/>
                    </w:rPr>
                    <w:t>99%</w:t>
                  </w:r>
                  <w:r>
                    <w:rPr>
                      <w:rStyle w:val="font41"/>
                      <w:rFonts w:ascii="Times New Roman" w:eastAsia="楷体" w:hAnsi="Times New Roman" w:cs="Times New Roman" w:hint="default"/>
                      <w:color w:val="auto"/>
                      <w:sz w:val="21"/>
                      <w:szCs w:val="21"/>
                      <w:lang w:bidi="ar"/>
                    </w:rPr>
                    <w:t>。</w:t>
                  </w:r>
                </w:p>
              </w:tc>
            </w:tr>
            <w:tr w:rsidR="00C72DBD">
              <w:trPr>
                <w:trHeight w:val="85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70</w:t>
                  </w:r>
                </w:p>
              </w:tc>
              <w:tc>
                <w:tcPr>
                  <w:tcW w:w="600" w:type="dxa"/>
                  <w:vMerge/>
                  <w:tcBorders>
                    <w:left w:val="single" w:sz="4" w:space="0" w:color="000000"/>
                    <w:bottom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31"/>
                      <w:rFonts w:ascii="Times New Roman" w:eastAsia="楷体" w:hAnsi="Times New Roman" w:cs="Times New Roman" w:hint="default"/>
                      <w:color w:val="auto"/>
                      <w:sz w:val="21"/>
                      <w:szCs w:val="21"/>
                      <w:lang w:bidi="ar"/>
                    </w:rPr>
                    <w:t>轧钢加热炉脱硫提标改造</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31"/>
                      <w:rFonts w:ascii="Times New Roman" w:eastAsia="楷体" w:hAnsi="Times New Roman" w:cs="Times New Roman" w:hint="default"/>
                      <w:color w:val="auto"/>
                      <w:sz w:val="21"/>
                      <w:szCs w:val="21"/>
                      <w:lang w:bidi="ar"/>
                    </w:rPr>
                    <w:t>轧钢加热炉配套固定床末端脱硫技术</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w:t>
                  </w:r>
                  <w:r>
                    <w:rPr>
                      <w:rStyle w:val="font11"/>
                      <w:rFonts w:eastAsia="楷体"/>
                      <w:color w:val="auto"/>
                      <w:sz w:val="21"/>
                      <w:szCs w:val="21"/>
                      <w:lang w:bidi="ar"/>
                    </w:rPr>
                    <w:t>SO</w:t>
                  </w:r>
                  <w:r>
                    <w:rPr>
                      <w:rStyle w:val="font11"/>
                      <w:rFonts w:eastAsia="楷体"/>
                      <w:color w:val="auto"/>
                      <w:sz w:val="21"/>
                      <w:szCs w:val="21"/>
                      <w:vertAlign w:val="subscript"/>
                      <w:lang w:bidi="ar"/>
                    </w:rPr>
                    <w:t>2</w:t>
                  </w:r>
                  <w:r>
                    <w:rPr>
                      <w:rStyle w:val="font41"/>
                      <w:rFonts w:ascii="Times New Roman" w:eastAsia="楷体" w:hAnsi="Times New Roman" w:cs="Times New Roman" w:hint="default"/>
                      <w:color w:val="auto"/>
                      <w:sz w:val="21"/>
                      <w:szCs w:val="21"/>
                      <w:lang w:bidi="ar"/>
                    </w:rPr>
                    <w:t>排放低于</w:t>
                  </w:r>
                  <w:r>
                    <w:rPr>
                      <w:rStyle w:val="font11"/>
                      <w:rFonts w:eastAsia="楷体"/>
                      <w:color w:val="auto"/>
                      <w:sz w:val="21"/>
                      <w:szCs w:val="21"/>
                      <w:lang w:bidi="ar"/>
                    </w:rPr>
                    <w:t>20mg/m</w:t>
                  </w:r>
                  <w:r>
                    <w:rPr>
                      <w:rStyle w:val="font11"/>
                      <w:rFonts w:eastAsia="楷体"/>
                      <w:color w:val="auto"/>
                      <w:sz w:val="21"/>
                      <w:szCs w:val="21"/>
                      <w:vertAlign w:val="superscript"/>
                      <w:lang w:bidi="ar"/>
                    </w:rPr>
                    <w:t>3</w:t>
                  </w:r>
                  <w:r>
                    <w:rPr>
                      <w:rStyle w:val="font41"/>
                      <w:rFonts w:ascii="Times New Roman" w:eastAsia="楷体" w:hAnsi="Times New Roman" w:cs="Times New Roman" w:hint="default"/>
                      <w:color w:val="auto"/>
                      <w:sz w:val="21"/>
                      <w:szCs w:val="21"/>
                      <w:lang w:bidi="ar"/>
                    </w:rPr>
                    <w:t>，稳定满足超低排放限值。</w:t>
                  </w:r>
                </w:p>
              </w:tc>
            </w:tr>
            <w:tr w:rsidR="00C72DBD">
              <w:trPr>
                <w:trHeight w:val="1134"/>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71</w:t>
                  </w:r>
                </w:p>
              </w:tc>
              <w:tc>
                <w:tcPr>
                  <w:tcW w:w="600" w:type="dxa"/>
                  <w:vMerge w:val="restart"/>
                  <w:tcBorders>
                    <w:top w:val="single" w:sz="4" w:space="0" w:color="000000"/>
                    <w:left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铸管</w:t>
                  </w: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铸管一区退火炉余热利用改造</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退火炉余热烟气可达</w:t>
                  </w:r>
                  <w:r>
                    <w:rPr>
                      <w:rStyle w:val="font11"/>
                      <w:rFonts w:eastAsia="楷体"/>
                      <w:color w:val="auto"/>
                      <w:sz w:val="21"/>
                      <w:szCs w:val="21"/>
                      <w:lang w:bidi="ar"/>
                    </w:rPr>
                    <w:t>160-200℃</w:t>
                  </w:r>
                  <w:r>
                    <w:rPr>
                      <w:rStyle w:val="font41"/>
                      <w:rFonts w:ascii="Times New Roman" w:eastAsia="楷体" w:hAnsi="Times New Roman" w:cs="Times New Roman" w:hint="default"/>
                      <w:color w:val="auto"/>
                      <w:sz w:val="21"/>
                      <w:szCs w:val="21"/>
                      <w:lang w:bidi="ar"/>
                    </w:rPr>
                    <w:t>，将该部分余热就近用于烘砂工序，节能的煤气用于发电。</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节能：年节省焦炉煤气</w:t>
                  </w:r>
                  <w:r>
                    <w:rPr>
                      <w:rStyle w:val="font11"/>
                      <w:rFonts w:eastAsia="楷体"/>
                      <w:color w:val="auto"/>
                      <w:sz w:val="21"/>
                      <w:szCs w:val="21"/>
                      <w:lang w:bidi="ar"/>
                    </w:rPr>
                    <w:t>66</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m</w:t>
                  </w:r>
                  <w:r>
                    <w:rPr>
                      <w:rStyle w:val="font11"/>
                      <w:rFonts w:eastAsia="楷体"/>
                      <w:color w:val="auto"/>
                      <w:sz w:val="21"/>
                      <w:szCs w:val="21"/>
                      <w:vertAlign w:val="superscript"/>
                      <w:lang w:bidi="ar"/>
                    </w:rPr>
                    <w:t>3</w:t>
                  </w:r>
                  <w:r>
                    <w:rPr>
                      <w:rStyle w:val="font41"/>
                      <w:rFonts w:ascii="Times New Roman" w:eastAsia="楷体" w:hAnsi="Times New Roman" w:cs="Times New Roman" w:hint="default"/>
                      <w:color w:val="auto"/>
                      <w:sz w:val="21"/>
                      <w:szCs w:val="21"/>
                      <w:lang w:bidi="ar"/>
                    </w:rPr>
                    <w:t>，节能量</w:t>
                  </w:r>
                  <w:r>
                    <w:rPr>
                      <w:rStyle w:val="font11"/>
                      <w:rFonts w:eastAsia="楷体"/>
                      <w:color w:val="auto"/>
                      <w:sz w:val="21"/>
                      <w:szCs w:val="21"/>
                      <w:lang w:bidi="ar"/>
                    </w:rPr>
                    <w:t>377</w:t>
                  </w:r>
                  <w:r>
                    <w:rPr>
                      <w:rStyle w:val="font41"/>
                      <w:rFonts w:ascii="Times New Roman" w:eastAsia="楷体" w:hAnsi="Times New Roman" w:cs="Times New Roman" w:hint="default"/>
                      <w:color w:val="auto"/>
                      <w:sz w:val="21"/>
                      <w:szCs w:val="21"/>
                      <w:lang w:bidi="ar"/>
                    </w:rPr>
                    <w:t>吨标煤</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r>
                    <w:rPr>
                      <w:rStyle w:val="font11"/>
                      <w:rFonts w:eastAsia="楷体"/>
                      <w:color w:val="auto"/>
                      <w:sz w:val="21"/>
                      <w:szCs w:val="21"/>
                      <w:lang w:bidi="ar"/>
                    </w:rPr>
                    <w:br/>
                  </w:r>
                  <w:r>
                    <w:rPr>
                      <w:rStyle w:val="font41"/>
                      <w:rFonts w:ascii="Times New Roman" w:eastAsia="楷体" w:hAnsi="Times New Roman" w:cs="Times New Roman" w:hint="default"/>
                      <w:color w:val="auto"/>
                      <w:sz w:val="21"/>
                      <w:szCs w:val="21"/>
                      <w:lang w:bidi="ar"/>
                    </w:rPr>
                    <w:t>增效：经济效益</w:t>
                  </w:r>
                  <w:r>
                    <w:rPr>
                      <w:rStyle w:val="font11"/>
                      <w:rFonts w:eastAsia="楷体"/>
                      <w:color w:val="auto"/>
                      <w:sz w:val="21"/>
                      <w:szCs w:val="21"/>
                      <w:lang w:bidi="ar"/>
                    </w:rPr>
                    <w:t>40</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p>
              </w:tc>
            </w:tr>
            <w:tr w:rsidR="00C72DBD">
              <w:trPr>
                <w:trHeight w:val="106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72</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铸管管式膜水处理系统</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增设一套管式膜污水处理系统，降低废水浊度和硬度，产生中水全部回用，降低新水使用量</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降耗：减少新水使用</w:t>
                  </w:r>
                  <w:r>
                    <w:rPr>
                      <w:rStyle w:val="font11"/>
                      <w:rFonts w:eastAsia="楷体"/>
                      <w:color w:val="auto"/>
                      <w:sz w:val="21"/>
                      <w:szCs w:val="21"/>
                      <w:lang w:bidi="ar"/>
                    </w:rPr>
                    <w:t>300</w:t>
                  </w:r>
                  <w:r>
                    <w:rPr>
                      <w:rStyle w:val="font41"/>
                      <w:rFonts w:ascii="Times New Roman" w:eastAsia="楷体" w:hAnsi="Times New Roman" w:cs="Times New Roman" w:hint="default"/>
                      <w:color w:val="auto"/>
                      <w:sz w:val="21"/>
                      <w:szCs w:val="21"/>
                      <w:lang w:bidi="ar"/>
                    </w:rPr>
                    <w:t>吨</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天，巩固废水零排放，节能量</w:t>
                  </w:r>
                  <w:r>
                    <w:rPr>
                      <w:rStyle w:val="font11"/>
                      <w:rFonts w:eastAsia="楷体"/>
                      <w:color w:val="auto"/>
                      <w:sz w:val="21"/>
                      <w:szCs w:val="21"/>
                      <w:lang w:bidi="ar"/>
                    </w:rPr>
                    <w:t>19</w:t>
                  </w:r>
                  <w:r>
                    <w:rPr>
                      <w:rStyle w:val="font41"/>
                      <w:rFonts w:ascii="Times New Roman" w:eastAsia="楷体" w:hAnsi="Times New Roman" w:cs="Times New Roman" w:hint="default"/>
                      <w:color w:val="auto"/>
                      <w:sz w:val="21"/>
                      <w:szCs w:val="21"/>
                      <w:lang w:bidi="ar"/>
                    </w:rPr>
                    <w:t>吨标煤</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r>
                    <w:rPr>
                      <w:rStyle w:val="font11"/>
                      <w:rFonts w:eastAsia="楷体"/>
                      <w:color w:val="auto"/>
                      <w:sz w:val="21"/>
                      <w:szCs w:val="21"/>
                      <w:lang w:bidi="ar"/>
                    </w:rPr>
                    <w:br/>
                  </w:r>
                  <w:r>
                    <w:rPr>
                      <w:rStyle w:val="font41"/>
                      <w:rFonts w:ascii="Times New Roman" w:eastAsia="楷体" w:hAnsi="Times New Roman" w:cs="Times New Roman" w:hint="default"/>
                      <w:color w:val="auto"/>
                      <w:sz w:val="21"/>
                      <w:szCs w:val="21"/>
                      <w:lang w:bidi="ar"/>
                    </w:rPr>
                    <w:t>增效：经济效益</w:t>
                  </w:r>
                  <w:r>
                    <w:rPr>
                      <w:rStyle w:val="font11"/>
                      <w:rFonts w:eastAsia="楷体"/>
                      <w:color w:val="auto"/>
                      <w:sz w:val="21"/>
                      <w:szCs w:val="21"/>
                      <w:lang w:bidi="ar"/>
                    </w:rPr>
                    <w:t>40</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p>
              </w:tc>
            </w:tr>
            <w:tr w:rsidR="00C72DBD">
              <w:trPr>
                <w:trHeight w:val="1417"/>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73</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铸管二区退火炉烟气余热回收利用</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采用空气预热器，后接余热锅炉的方式回收利用余热，提高助燃风的预热温度，降低退火炉的煤气消耗，产生余热蒸汽供铸管养生自用。</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节能：年节省焦炉煤气</w:t>
                  </w:r>
                  <w:r>
                    <w:rPr>
                      <w:rStyle w:val="font11"/>
                      <w:rFonts w:eastAsia="楷体"/>
                      <w:color w:val="auto"/>
                      <w:sz w:val="21"/>
                      <w:szCs w:val="21"/>
                      <w:lang w:bidi="ar"/>
                    </w:rPr>
                    <w:t>152</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m</w:t>
                  </w:r>
                  <w:r>
                    <w:rPr>
                      <w:rStyle w:val="font11"/>
                      <w:rFonts w:eastAsia="楷体"/>
                      <w:color w:val="auto"/>
                      <w:sz w:val="21"/>
                      <w:szCs w:val="21"/>
                      <w:vertAlign w:val="superscript"/>
                      <w:lang w:bidi="ar"/>
                    </w:rPr>
                    <w:t>3</w:t>
                  </w:r>
                  <w:r>
                    <w:rPr>
                      <w:rStyle w:val="font41"/>
                      <w:rFonts w:ascii="Times New Roman" w:eastAsia="楷体" w:hAnsi="Times New Roman" w:cs="Times New Roman" w:hint="default"/>
                      <w:color w:val="auto"/>
                      <w:sz w:val="21"/>
                      <w:szCs w:val="21"/>
                      <w:lang w:bidi="ar"/>
                    </w:rPr>
                    <w:t>，节约蒸汽量</w:t>
                  </w:r>
                  <w:r>
                    <w:rPr>
                      <w:rStyle w:val="font11"/>
                      <w:rFonts w:eastAsia="楷体"/>
                      <w:color w:val="auto"/>
                      <w:sz w:val="21"/>
                      <w:szCs w:val="21"/>
                      <w:lang w:bidi="ar"/>
                    </w:rPr>
                    <w:t>8000t</w:t>
                  </w:r>
                  <w:r>
                    <w:rPr>
                      <w:rStyle w:val="font41"/>
                      <w:rFonts w:ascii="Times New Roman" w:eastAsia="楷体" w:hAnsi="Times New Roman" w:cs="Times New Roman" w:hint="default"/>
                      <w:color w:val="auto"/>
                      <w:sz w:val="21"/>
                      <w:szCs w:val="21"/>
                      <w:lang w:bidi="ar"/>
                    </w:rPr>
                    <w:t>，节能量</w:t>
                  </w:r>
                  <w:r>
                    <w:rPr>
                      <w:rStyle w:val="font11"/>
                      <w:rFonts w:eastAsia="楷体"/>
                      <w:color w:val="auto"/>
                      <w:sz w:val="21"/>
                      <w:szCs w:val="21"/>
                      <w:lang w:bidi="ar"/>
                    </w:rPr>
                    <w:t>1579</w:t>
                  </w:r>
                  <w:r>
                    <w:rPr>
                      <w:rStyle w:val="font41"/>
                      <w:rFonts w:ascii="Times New Roman" w:eastAsia="楷体" w:hAnsi="Times New Roman" w:cs="Times New Roman" w:hint="default"/>
                      <w:color w:val="auto"/>
                      <w:sz w:val="21"/>
                      <w:szCs w:val="21"/>
                      <w:lang w:bidi="ar"/>
                    </w:rPr>
                    <w:t>吨标煤</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r>
                    <w:rPr>
                      <w:rStyle w:val="font11"/>
                      <w:rFonts w:eastAsia="楷体"/>
                      <w:color w:val="auto"/>
                      <w:sz w:val="21"/>
                      <w:szCs w:val="21"/>
                      <w:lang w:bidi="ar"/>
                    </w:rPr>
                    <w:br/>
                  </w:r>
                  <w:r>
                    <w:rPr>
                      <w:rStyle w:val="font41"/>
                      <w:rFonts w:ascii="Times New Roman" w:eastAsia="楷体" w:hAnsi="Times New Roman" w:cs="Times New Roman" w:hint="default"/>
                      <w:color w:val="auto"/>
                      <w:sz w:val="21"/>
                      <w:szCs w:val="21"/>
                      <w:lang w:bidi="ar"/>
                    </w:rPr>
                    <w:t>增效：经济效益</w:t>
                  </w:r>
                  <w:r>
                    <w:rPr>
                      <w:rStyle w:val="font11"/>
                      <w:rFonts w:eastAsia="楷体"/>
                      <w:color w:val="auto"/>
                      <w:sz w:val="21"/>
                      <w:szCs w:val="21"/>
                      <w:lang w:bidi="ar"/>
                    </w:rPr>
                    <w:t>82</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p>
              </w:tc>
            </w:tr>
            <w:tr w:rsidR="00C72DBD">
              <w:trPr>
                <w:trHeight w:val="102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74</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铸管退火炉焦炉煤气预热改造</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利用厂内余热蒸汽对一区、二区退火炉焦炉煤气预热改造。</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节能：年节省焦炉煤气</w:t>
                  </w:r>
                  <w:r>
                    <w:rPr>
                      <w:rStyle w:val="font11"/>
                      <w:rFonts w:eastAsia="楷体"/>
                      <w:color w:val="auto"/>
                      <w:sz w:val="21"/>
                      <w:szCs w:val="21"/>
                      <w:lang w:bidi="ar"/>
                    </w:rPr>
                    <w:t>40</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m</w:t>
                  </w:r>
                  <w:r>
                    <w:rPr>
                      <w:rStyle w:val="font11"/>
                      <w:rFonts w:eastAsia="楷体"/>
                      <w:color w:val="auto"/>
                      <w:sz w:val="21"/>
                      <w:szCs w:val="21"/>
                      <w:vertAlign w:val="superscript"/>
                      <w:lang w:bidi="ar"/>
                    </w:rPr>
                    <w:t>3</w:t>
                  </w:r>
                  <w:r>
                    <w:rPr>
                      <w:rStyle w:val="font41"/>
                      <w:rFonts w:ascii="Times New Roman" w:eastAsia="楷体" w:hAnsi="Times New Roman" w:cs="Times New Roman" w:hint="default"/>
                      <w:color w:val="auto"/>
                      <w:sz w:val="21"/>
                      <w:szCs w:val="21"/>
                      <w:lang w:bidi="ar"/>
                    </w:rPr>
                    <w:t>，节能量</w:t>
                  </w:r>
                  <w:r>
                    <w:rPr>
                      <w:rStyle w:val="font11"/>
                      <w:rFonts w:eastAsia="楷体"/>
                      <w:color w:val="auto"/>
                      <w:sz w:val="21"/>
                      <w:szCs w:val="21"/>
                      <w:lang w:bidi="ar"/>
                    </w:rPr>
                    <w:t>226</w:t>
                  </w:r>
                  <w:r>
                    <w:rPr>
                      <w:rStyle w:val="font41"/>
                      <w:rFonts w:ascii="Times New Roman" w:eastAsia="楷体" w:hAnsi="Times New Roman" w:cs="Times New Roman" w:hint="default"/>
                      <w:color w:val="auto"/>
                      <w:sz w:val="21"/>
                      <w:szCs w:val="21"/>
                      <w:lang w:bidi="ar"/>
                    </w:rPr>
                    <w:t>吨标煤</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r>
                    <w:rPr>
                      <w:rStyle w:val="font11"/>
                      <w:rFonts w:eastAsia="楷体"/>
                      <w:color w:val="auto"/>
                      <w:sz w:val="21"/>
                      <w:szCs w:val="21"/>
                      <w:lang w:bidi="ar"/>
                    </w:rPr>
                    <w:br/>
                  </w:r>
                  <w:r>
                    <w:rPr>
                      <w:rStyle w:val="font41"/>
                      <w:rFonts w:ascii="Times New Roman" w:eastAsia="楷体" w:hAnsi="Times New Roman" w:cs="Times New Roman" w:hint="default"/>
                      <w:color w:val="auto"/>
                      <w:sz w:val="21"/>
                      <w:szCs w:val="21"/>
                      <w:lang w:bidi="ar"/>
                    </w:rPr>
                    <w:t>增效：经济效益</w:t>
                  </w:r>
                  <w:r>
                    <w:rPr>
                      <w:rStyle w:val="font11"/>
                      <w:rFonts w:eastAsia="楷体"/>
                      <w:color w:val="auto"/>
                      <w:sz w:val="21"/>
                      <w:szCs w:val="21"/>
                      <w:lang w:bidi="ar"/>
                    </w:rPr>
                    <w:t>24</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p>
              </w:tc>
            </w:tr>
            <w:tr w:rsidR="00C72DBD">
              <w:trPr>
                <w:trHeight w:val="114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75</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铸管二区制芯烘沙炉恒温改造</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通过增设控制系统，使烘砂炉烘砂温度控制在较小取件，有效降低了煤气消耗量</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节能：年节省焦炉煤气</w:t>
                  </w:r>
                  <w:r>
                    <w:rPr>
                      <w:rStyle w:val="font11"/>
                      <w:rFonts w:eastAsia="楷体"/>
                      <w:color w:val="auto"/>
                      <w:sz w:val="21"/>
                      <w:szCs w:val="21"/>
                      <w:lang w:bidi="ar"/>
                    </w:rPr>
                    <w:t>14</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m</w:t>
                  </w:r>
                  <w:r>
                    <w:rPr>
                      <w:rStyle w:val="font11"/>
                      <w:rFonts w:eastAsia="楷体"/>
                      <w:color w:val="auto"/>
                      <w:sz w:val="21"/>
                      <w:szCs w:val="21"/>
                      <w:vertAlign w:val="superscript"/>
                      <w:lang w:bidi="ar"/>
                    </w:rPr>
                    <w:t>3</w:t>
                  </w:r>
                  <w:r>
                    <w:rPr>
                      <w:rStyle w:val="font41"/>
                      <w:rFonts w:ascii="Times New Roman" w:eastAsia="楷体" w:hAnsi="Times New Roman" w:cs="Times New Roman" w:hint="default"/>
                      <w:color w:val="auto"/>
                      <w:sz w:val="21"/>
                      <w:szCs w:val="21"/>
                      <w:lang w:bidi="ar"/>
                    </w:rPr>
                    <w:t>，节能量</w:t>
                  </w:r>
                  <w:r>
                    <w:rPr>
                      <w:rStyle w:val="font11"/>
                      <w:rFonts w:eastAsia="楷体"/>
                      <w:color w:val="auto"/>
                      <w:sz w:val="21"/>
                      <w:szCs w:val="21"/>
                      <w:lang w:bidi="ar"/>
                    </w:rPr>
                    <w:t>79.1</w:t>
                  </w:r>
                  <w:r>
                    <w:rPr>
                      <w:rStyle w:val="font41"/>
                      <w:rFonts w:ascii="Times New Roman" w:eastAsia="楷体" w:hAnsi="Times New Roman" w:cs="Times New Roman" w:hint="default"/>
                      <w:color w:val="auto"/>
                      <w:sz w:val="21"/>
                      <w:szCs w:val="21"/>
                      <w:lang w:bidi="ar"/>
                    </w:rPr>
                    <w:t>吨标煤</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r>
                    <w:rPr>
                      <w:rStyle w:val="font11"/>
                      <w:rFonts w:eastAsia="楷体"/>
                      <w:color w:val="auto"/>
                      <w:sz w:val="21"/>
                      <w:szCs w:val="21"/>
                      <w:lang w:bidi="ar"/>
                    </w:rPr>
                    <w:br/>
                  </w:r>
                  <w:r>
                    <w:rPr>
                      <w:rStyle w:val="font41"/>
                      <w:rFonts w:ascii="Times New Roman" w:eastAsia="楷体" w:hAnsi="Times New Roman" w:cs="Times New Roman" w:hint="default"/>
                      <w:color w:val="auto"/>
                      <w:sz w:val="21"/>
                      <w:szCs w:val="21"/>
                      <w:lang w:bidi="ar"/>
                    </w:rPr>
                    <w:t>增效：经济效益</w:t>
                  </w:r>
                  <w:r>
                    <w:rPr>
                      <w:rStyle w:val="font11"/>
                      <w:rFonts w:eastAsia="楷体"/>
                      <w:color w:val="auto"/>
                      <w:sz w:val="21"/>
                      <w:szCs w:val="21"/>
                      <w:lang w:bidi="ar"/>
                    </w:rPr>
                    <w:t>8.4</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p>
              </w:tc>
            </w:tr>
            <w:tr w:rsidR="00C72DBD">
              <w:trPr>
                <w:trHeight w:val="794"/>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76</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31"/>
                      <w:rFonts w:ascii="Times New Roman" w:eastAsia="楷体" w:hAnsi="Times New Roman" w:cs="Times New Roman" w:hint="default"/>
                      <w:color w:val="auto"/>
                      <w:sz w:val="21"/>
                      <w:szCs w:val="21"/>
                      <w:lang w:bidi="ar"/>
                    </w:rPr>
                    <w:t>铸管系统除尘提升改造项目</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31"/>
                      <w:rFonts w:ascii="Times New Roman" w:eastAsia="楷体" w:hAnsi="Times New Roman" w:cs="Times New Roman" w:hint="default"/>
                      <w:color w:val="auto"/>
                      <w:sz w:val="21"/>
                      <w:szCs w:val="21"/>
                      <w:lang w:bidi="ar"/>
                    </w:rPr>
                    <w:t>熔炼、离心机、球化、喷锌等工序均配备高效布袋除尘器。</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减排：各工序</w:t>
                  </w:r>
                  <w:r>
                    <w:rPr>
                      <w:rStyle w:val="font11"/>
                      <w:rFonts w:eastAsia="楷体"/>
                      <w:color w:val="auto"/>
                      <w:sz w:val="21"/>
                      <w:szCs w:val="21"/>
                      <w:lang w:bidi="ar"/>
                    </w:rPr>
                    <w:t>PM</w:t>
                  </w:r>
                  <w:r>
                    <w:rPr>
                      <w:rStyle w:val="font41"/>
                      <w:rFonts w:ascii="Times New Roman" w:eastAsia="楷体" w:hAnsi="Times New Roman" w:cs="Times New Roman" w:hint="default"/>
                      <w:color w:val="auto"/>
                      <w:sz w:val="21"/>
                      <w:szCs w:val="21"/>
                      <w:lang w:bidi="ar"/>
                    </w:rPr>
                    <w:t>去除率大于</w:t>
                  </w:r>
                  <w:r>
                    <w:rPr>
                      <w:rStyle w:val="font11"/>
                      <w:rFonts w:eastAsia="楷体"/>
                      <w:color w:val="auto"/>
                      <w:sz w:val="21"/>
                      <w:szCs w:val="21"/>
                      <w:lang w:bidi="ar"/>
                    </w:rPr>
                    <w:t>99%</w:t>
                  </w:r>
                  <w:r>
                    <w:rPr>
                      <w:rStyle w:val="font41"/>
                      <w:rFonts w:ascii="Times New Roman" w:eastAsia="楷体" w:hAnsi="Times New Roman" w:cs="Times New Roman" w:hint="default"/>
                      <w:color w:val="auto"/>
                      <w:sz w:val="21"/>
                      <w:szCs w:val="21"/>
                      <w:lang w:bidi="ar"/>
                    </w:rPr>
                    <w:t>。</w:t>
                  </w:r>
                </w:p>
              </w:tc>
            </w:tr>
            <w:tr w:rsidR="00C72DBD">
              <w:trPr>
                <w:trHeight w:val="794"/>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77</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31"/>
                      <w:rFonts w:ascii="Times New Roman" w:eastAsia="楷体" w:hAnsi="Times New Roman" w:cs="Times New Roman" w:hint="default"/>
                      <w:color w:val="auto"/>
                      <w:sz w:val="21"/>
                      <w:szCs w:val="21"/>
                      <w:lang w:bidi="ar"/>
                    </w:rPr>
                    <w:t>退火炉低氮燃烧改造</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31"/>
                      <w:rFonts w:ascii="Times New Roman" w:eastAsia="楷体" w:hAnsi="Times New Roman" w:cs="Times New Roman" w:hint="default"/>
                      <w:color w:val="auto"/>
                      <w:sz w:val="21"/>
                      <w:szCs w:val="21"/>
                      <w:lang w:bidi="ar"/>
                    </w:rPr>
                    <w:t>退火炉均配备低氮燃烧技术，优化燃烧改造结构</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w:t>
                  </w:r>
                  <w:r>
                    <w:rPr>
                      <w:rStyle w:val="font21"/>
                      <w:rFonts w:eastAsia="楷体"/>
                      <w:color w:val="auto"/>
                      <w:sz w:val="21"/>
                      <w:szCs w:val="21"/>
                      <w:lang w:bidi="ar"/>
                    </w:rPr>
                    <w:t>NOx</w:t>
                  </w:r>
                  <w:r>
                    <w:rPr>
                      <w:rStyle w:val="font41"/>
                      <w:rFonts w:ascii="Times New Roman" w:eastAsia="楷体" w:hAnsi="Times New Roman" w:cs="Times New Roman" w:hint="default"/>
                      <w:color w:val="auto"/>
                      <w:sz w:val="21"/>
                      <w:szCs w:val="21"/>
                      <w:lang w:bidi="ar"/>
                    </w:rPr>
                    <w:t>排放浓度小于</w:t>
                  </w:r>
                  <w:r>
                    <w:rPr>
                      <w:rStyle w:val="font21"/>
                      <w:rFonts w:eastAsia="楷体"/>
                      <w:color w:val="auto"/>
                      <w:sz w:val="21"/>
                      <w:szCs w:val="21"/>
                      <w:lang w:bidi="ar"/>
                    </w:rPr>
                    <w:t>150mg/m</w:t>
                  </w:r>
                  <w:r>
                    <w:rPr>
                      <w:rStyle w:val="font21"/>
                      <w:rFonts w:eastAsia="楷体"/>
                      <w:color w:val="auto"/>
                      <w:sz w:val="21"/>
                      <w:szCs w:val="21"/>
                      <w:vertAlign w:val="superscript"/>
                      <w:lang w:bidi="ar"/>
                    </w:rPr>
                    <w:t>3</w:t>
                  </w:r>
                </w:p>
              </w:tc>
            </w:tr>
            <w:tr w:rsidR="00C72DBD">
              <w:trPr>
                <w:trHeight w:val="106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78</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31"/>
                      <w:rFonts w:ascii="Times New Roman" w:eastAsia="楷体" w:hAnsi="Times New Roman" w:cs="Times New Roman" w:hint="default"/>
                      <w:color w:val="auto"/>
                      <w:sz w:val="21"/>
                      <w:szCs w:val="21"/>
                      <w:lang w:bidi="ar"/>
                    </w:rPr>
                    <w:t>铸管喷涂环保涂料提升</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31"/>
                      <w:rFonts w:ascii="Times New Roman" w:eastAsia="楷体" w:hAnsi="Times New Roman" w:cs="Times New Roman" w:hint="default"/>
                      <w:color w:val="auto"/>
                      <w:sz w:val="21"/>
                      <w:szCs w:val="21"/>
                      <w:lang w:bidi="ar"/>
                    </w:rPr>
                    <w:t>喷涂工序全部采用环保水性漆，低</w:t>
                  </w:r>
                  <w:r>
                    <w:rPr>
                      <w:rStyle w:val="font11"/>
                      <w:rFonts w:eastAsia="楷体"/>
                      <w:color w:val="auto"/>
                      <w:sz w:val="21"/>
                      <w:szCs w:val="21"/>
                      <w:lang w:bidi="ar"/>
                    </w:rPr>
                    <w:t>VOCs</w:t>
                  </w:r>
                  <w:r>
                    <w:rPr>
                      <w:rStyle w:val="font31"/>
                      <w:rFonts w:ascii="Times New Roman" w:eastAsia="楷体" w:hAnsi="Times New Roman" w:cs="Times New Roman" w:hint="default"/>
                      <w:color w:val="auto"/>
                      <w:sz w:val="21"/>
                      <w:szCs w:val="21"/>
                      <w:lang w:bidi="ar"/>
                    </w:rPr>
                    <w:t>含量，经权威结构检测远低于国家标准。</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减排：无</w:t>
                  </w:r>
                  <w:r>
                    <w:rPr>
                      <w:rStyle w:val="font21"/>
                      <w:rFonts w:eastAsia="楷体"/>
                      <w:color w:val="auto"/>
                      <w:sz w:val="21"/>
                      <w:szCs w:val="21"/>
                      <w:lang w:bidi="ar"/>
                    </w:rPr>
                    <w:t>VOCs</w:t>
                  </w:r>
                  <w:r>
                    <w:rPr>
                      <w:rStyle w:val="font41"/>
                      <w:rFonts w:ascii="Times New Roman" w:eastAsia="楷体" w:hAnsi="Times New Roman" w:cs="Times New Roman" w:hint="default"/>
                      <w:color w:val="auto"/>
                      <w:sz w:val="21"/>
                      <w:szCs w:val="21"/>
                      <w:lang w:bidi="ar"/>
                    </w:rPr>
                    <w:t>异味</w:t>
                  </w:r>
                </w:p>
              </w:tc>
            </w:tr>
            <w:tr w:rsidR="00C72DBD">
              <w:trPr>
                <w:trHeight w:val="794"/>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79</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31"/>
                      <w:rFonts w:ascii="Times New Roman" w:eastAsia="楷体" w:hAnsi="Times New Roman" w:cs="Times New Roman" w:hint="default"/>
                      <w:color w:val="auto"/>
                      <w:sz w:val="21"/>
                      <w:szCs w:val="21"/>
                      <w:lang w:bidi="ar"/>
                    </w:rPr>
                    <w:t>浇铸工序优化封闭项目</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31"/>
                      <w:rFonts w:ascii="Times New Roman" w:eastAsia="楷体" w:hAnsi="Times New Roman" w:cs="Times New Roman" w:hint="default"/>
                      <w:color w:val="auto"/>
                      <w:sz w:val="21"/>
                      <w:szCs w:val="21"/>
                      <w:lang w:bidi="ar"/>
                    </w:rPr>
                    <w:t>将浇铸区域收尘罩改为移动式，满足实际生产和收尘要求</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减排：大幅降低无组织外排。</w:t>
                  </w:r>
                </w:p>
              </w:tc>
            </w:tr>
            <w:tr w:rsidR="00C72DBD">
              <w:trPr>
                <w:trHeight w:val="794"/>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80</w:t>
                  </w:r>
                </w:p>
              </w:tc>
              <w:tc>
                <w:tcPr>
                  <w:tcW w:w="600" w:type="dxa"/>
                  <w:vMerge/>
                  <w:tcBorders>
                    <w:left w:val="single" w:sz="4" w:space="0" w:color="000000"/>
                    <w:bottom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31"/>
                      <w:rFonts w:ascii="Times New Roman" w:eastAsia="楷体" w:hAnsi="Times New Roman" w:cs="Times New Roman" w:hint="default"/>
                      <w:color w:val="auto"/>
                      <w:sz w:val="21"/>
                      <w:szCs w:val="21"/>
                      <w:lang w:bidi="ar"/>
                    </w:rPr>
                    <w:t>铸管成品车辆环保改造项目</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31"/>
                      <w:rFonts w:ascii="Times New Roman" w:eastAsia="楷体" w:hAnsi="Times New Roman" w:cs="Times New Roman" w:hint="default"/>
                      <w:color w:val="auto"/>
                      <w:sz w:val="21"/>
                      <w:szCs w:val="21"/>
                      <w:lang w:bidi="ar"/>
                    </w:rPr>
                    <w:t>铸管成品车辆倒运全部采用电动牵引车，无污染物排放</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减排：无车辆尾气排放。</w:t>
                  </w:r>
                </w:p>
              </w:tc>
            </w:tr>
            <w:tr w:rsidR="00C72DBD">
              <w:trPr>
                <w:trHeight w:val="108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81</w:t>
                  </w:r>
                </w:p>
              </w:tc>
              <w:tc>
                <w:tcPr>
                  <w:tcW w:w="600" w:type="dxa"/>
                  <w:vMerge w:val="restart"/>
                  <w:tcBorders>
                    <w:top w:val="single" w:sz="4" w:space="0" w:color="000000"/>
                    <w:left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发电</w:t>
                  </w: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发电机组自动优化烧炉</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增设智能控制系统，烧炉煤气实现全自动优化运行。节约发电煤气消耗</w:t>
                  </w:r>
                  <w:r>
                    <w:rPr>
                      <w:rStyle w:val="font21"/>
                      <w:rFonts w:eastAsia="楷体"/>
                      <w:color w:val="auto"/>
                      <w:sz w:val="21"/>
                      <w:szCs w:val="21"/>
                      <w:lang w:bidi="ar"/>
                    </w:rPr>
                    <w:t>2%</w:t>
                  </w:r>
                  <w:r>
                    <w:rPr>
                      <w:rStyle w:val="font41"/>
                      <w:rFonts w:ascii="Times New Roman" w:eastAsia="楷体" w:hAnsi="Times New Roman" w:cs="Times New Roman" w:hint="default"/>
                      <w:color w:val="auto"/>
                      <w:sz w:val="21"/>
                      <w:szCs w:val="21"/>
                      <w:lang w:bidi="ar"/>
                    </w:rPr>
                    <w:t>以上，实现燃气锅炉长期自控率＞</w:t>
                  </w:r>
                  <w:r>
                    <w:rPr>
                      <w:rStyle w:val="font21"/>
                      <w:rFonts w:eastAsia="楷体"/>
                      <w:color w:val="auto"/>
                      <w:sz w:val="21"/>
                      <w:szCs w:val="21"/>
                      <w:lang w:bidi="ar"/>
                    </w:rPr>
                    <w:t>90%</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节能：节能量</w:t>
                  </w:r>
                  <w:r>
                    <w:rPr>
                      <w:rStyle w:val="font11"/>
                      <w:rFonts w:eastAsia="楷体"/>
                      <w:color w:val="auto"/>
                      <w:sz w:val="21"/>
                      <w:szCs w:val="21"/>
                      <w:lang w:bidi="ar"/>
                    </w:rPr>
                    <w:t>522</w:t>
                  </w:r>
                  <w:r>
                    <w:rPr>
                      <w:rStyle w:val="font41"/>
                      <w:rFonts w:ascii="Times New Roman" w:eastAsia="楷体" w:hAnsi="Times New Roman" w:cs="Times New Roman" w:hint="default"/>
                      <w:color w:val="auto"/>
                      <w:sz w:val="21"/>
                      <w:szCs w:val="21"/>
                      <w:lang w:bidi="ar"/>
                    </w:rPr>
                    <w:t>吨标煤</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r>
                    <w:rPr>
                      <w:rStyle w:val="font11"/>
                      <w:rFonts w:eastAsia="楷体"/>
                      <w:color w:val="auto"/>
                      <w:sz w:val="21"/>
                      <w:szCs w:val="21"/>
                      <w:lang w:bidi="ar"/>
                    </w:rPr>
                    <w:br/>
                  </w:r>
                  <w:r>
                    <w:rPr>
                      <w:rStyle w:val="font41"/>
                      <w:rFonts w:ascii="Times New Roman" w:eastAsia="楷体" w:hAnsi="Times New Roman" w:cs="Times New Roman" w:hint="default"/>
                      <w:color w:val="auto"/>
                      <w:sz w:val="21"/>
                      <w:szCs w:val="21"/>
                      <w:lang w:bidi="ar"/>
                    </w:rPr>
                    <w:t>增效：经济效益</w:t>
                  </w:r>
                  <w:r>
                    <w:rPr>
                      <w:rStyle w:val="font11"/>
                      <w:rFonts w:eastAsia="楷体"/>
                      <w:color w:val="auto"/>
                      <w:sz w:val="21"/>
                      <w:szCs w:val="21"/>
                      <w:lang w:bidi="ar"/>
                    </w:rPr>
                    <w:t>157</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p>
              </w:tc>
            </w:tr>
            <w:tr w:rsidR="00C72DBD">
              <w:trPr>
                <w:trHeight w:val="794"/>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82</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超高温超高压煤气发电</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焦化配套</w:t>
                  </w:r>
                  <w:r>
                    <w:rPr>
                      <w:rStyle w:val="font21"/>
                      <w:rFonts w:eastAsia="楷体"/>
                      <w:color w:val="auto"/>
                      <w:sz w:val="21"/>
                      <w:szCs w:val="21"/>
                      <w:lang w:bidi="ar"/>
                    </w:rPr>
                    <w:t>65MW</w:t>
                  </w:r>
                  <w:r>
                    <w:rPr>
                      <w:rStyle w:val="font41"/>
                      <w:rFonts w:ascii="Times New Roman" w:eastAsia="楷体" w:hAnsi="Times New Roman" w:cs="Times New Roman" w:hint="default"/>
                      <w:color w:val="auto"/>
                      <w:sz w:val="21"/>
                      <w:szCs w:val="21"/>
                      <w:lang w:bidi="ar"/>
                    </w:rPr>
                    <w:t>超高温超高压煤气发电机组，年自发电量</w:t>
                  </w:r>
                  <w:r>
                    <w:rPr>
                      <w:rStyle w:val="font21"/>
                      <w:rFonts w:eastAsia="楷体"/>
                      <w:color w:val="auto"/>
                      <w:sz w:val="21"/>
                      <w:szCs w:val="21"/>
                      <w:lang w:bidi="ar"/>
                    </w:rPr>
                    <w:t>3.32</w:t>
                  </w:r>
                  <w:r>
                    <w:rPr>
                      <w:rStyle w:val="font41"/>
                      <w:rFonts w:ascii="Times New Roman" w:eastAsia="楷体" w:hAnsi="Times New Roman" w:cs="Times New Roman" w:hint="default"/>
                      <w:color w:val="auto"/>
                      <w:sz w:val="21"/>
                      <w:szCs w:val="21"/>
                      <w:lang w:bidi="ar"/>
                    </w:rPr>
                    <w:t>亿</w:t>
                  </w:r>
                  <w:r>
                    <w:rPr>
                      <w:rStyle w:val="font21"/>
                      <w:rFonts w:eastAsia="楷体"/>
                      <w:color w:val="auto"/>
                      <w:sz w:val="21"/>
                      <w:szCs w:val="21"/>
                      <w:lang w:bidi="ar"/>
                    </w:rPr>
                    <w:t>kWh</w:t>
                  </w:r>
                  <w:r>
                    <w:rPr>
                      <w:rStyle w:val="font41"/>
                      <w:rFonts w:ascii="Times New Roman" w:eastAsia="楷体" w:hAnsi="Times New Roman" w:cs="Times New Roman" w:hint="default"/>
                      <w:color w:val="auto"/>
                      <w:sz w:val="21"/>
                      <w:szCs w:val="21"/>
                      <w:lang w:bidi="ar"/>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节能：节能量</w:t>
                  </w:r>
                  <w:r>
                    <w:rPr>
                      <w:rStyle w:val="font11"/>
                      <w:rFonts w:eastAsia="楷体"/>
                      <w:color w:val="auto"/>
                      <w:sz w:val="21"/>
                      <w:szCs w:val="21"/>
                      <w:lang w:bidi="ar"/>
                    </w:rPr>
                    <w:t>13453</w:t>
                  </w:r>
                  <w:r>
                    <w:rPr>
                      <w:rStyle w:val="font41"/>
                      <w:rFonts w:ascii="Times New Roman" w:eastAsia="楷体" w:hAnsi="Times New Roman" w:cs="Times New Roman" w:hint="default"/>
                      <w:color w:val="auto"/>
                      <w:sz w:val="21"/>
                      <w:szCs w:val="21"/>
                      <w:lang w:bidi="ar"/>
                    </w:rPr>
                    <w:t>吨标煤</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r>
                    <w:rPr>
                      <w:rStyle w:val="font11"/>
                      <w:rFonts w:eastAsia="楷体"/>
                      <w:color w:val="auto"/>
                      <w:sz w:val="21"/>
                      <w:szCs w:val="21"/>
                      <w:lang w:bidi="ar"/>
                    </w:rPr>
                    <w:br/>
                  </w:r>
                  <w:r>
                    <w:rPr>
                      <w:rStyle w:val="font41"/>
                      <w:rFonts w:ascii="Times New Roman" w:eastAsia="楷体" w:hAnsi="Times New Roman" w:cs="Times New Roman" w:hint="default"/>
                      <w:color w:val="auto"/>
                      <w:sz w:val="21"/>
                      <w:szCs w:val="21"/>
                      <w:lang w:bidi="ar"/>
                    </w:rPr>
                    <w:t>增效：经济效益</w:t>
                  </w:r>
                  <w:r>
                    <w:rPr>
                      <w:rStyle w:val="font11"/>
                      <w:rFonts w:eastAsia="楷体"/>
                      <w:color w:val="auto"/>
                      <w:sz w:val="21"/>
                      <w:szCs w:val="21"/>
                      <w:lang w:bidi="ar"/>
                    </w:rPr>
                    <w:t>11941</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p>
              </w:tc>
            </w:tr>
            <w:tr w:rsidR="00C72DBD">
              <w:trPr>
                <w:trHeight w:val="128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83</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发电机组冷端优化项目</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对冷端系统进行节能技术改造和运行方式优化，在冷端系统设备消耗最小的前提下获取最有利的运行真空，降低汽轮机热耗和降低冷端系统设备用电率</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节能：增发电量</w:t>
                  </w:r>
                  <w:r>
                    <w:rPr>
                      <w:rStyle w:val="font11"/>
                      <w:rFonts w:eastAsia="楷体"/>
                      <w:color w:val="auto"/>
                      <w:sz w:val="21"/>
                      <w:szCs w:val="21"/>
                      <w:lang w:bidi="ar"/>
                    </w:rPr>
                    <w:t>339</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kWh/</w:t>
                  </w:r>
                  <w:r>
                    <w:rPr>
                      <w:rStyle w:val="font41"/>
                      <w:rFonts w:ascii="Times New Roman" w:eastAsia="楷体" w:hAnsi="Times New Roman" w:cs="Times New Roman" w:hint="default"/>
                      <w:color w:val="auto"/>
                      <w:sz w:val="21"/>
                      <w:szCs w:val="21"/>
                      <w:lang w:bidi="ar"/>
                    </w:rPr>
                    <w:t>年，节能量</w:t>
                  </w:r>
                  <w:r>
                    <w:rPr>
                      <w:rStyle w:val="font11"/>
                      <w:rFonts w:eastAsia="楷体"/>
                      <w:color w:val="auto"/>
                      <w:sz w:val="21"/>
                      <w:szCs w:val="21"/>
                      <w:lang w:bidi="ar"/>
                    </w:rPr>
                    <w:t>417</w:t>
                  </w:r>
                  <w:r>
                    <w:rPr>
                      <w:rStyle w:val="font41"/>
                      <w:rFonts w:ascii="Times New Roman" w:eastAsia="楷体" w:hAnsi="Times New Roman" w:cs="Times New Roman" w:hint="default"/>
                      <w:color w:val="auto"/>
                      <w:sz w:val="21"/>
                      <w:szCs w:val="21"/>
                      <w:lang w:bidi="ar"/>
                    </w:rPr>
                    <w:t>吨标煤</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r>
                    <w:rPr>
                      <w:rStyle w:val="font11"/>
                      <w:rFonts w:eastAsia="楷体"/>
                      <w:color w:val="auto"/>
                      <w:sz w:val="21"/>
                      <w:szCs w:val="21"/>
                      <w:lang w:bidi="ar"/>
                    </w:rPr>
                    <w:br/>
                  </w:r>
                  <w:r>
                    <w:rPr>
                      <w:rStyle w:val="font41"/>
                      <w:rFonts w:ascii="Times New Roman" w:eastAsia="楷体" w:hAnsi="Times New Roman" w:cs="Times New Roman" w:hint="default"/>
                      <w:color w:val="auto"/>
                      <w:sz w:val="21"/>
                      <w:szCs w:val="21"/>
                      <w:lang w:bidi="ar"/>
                    </w:rPr>
                    <w:t>增效：经济效益</w:t>
                  </w:r>
                  <w:r>
                    <w:rPr>
                      <w:rStyle w:val="font11"/>
                      <w:rFonts w:eastAsia="楷体"/>
                      <w:color w:val="auto"/>
                      <w:sz w:val="21"/>
                      <w:szCs w:val="21"/>
                      <w:lang w:bidi="ar"/>
                    </w:rPr>
                    <w:t>162</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p>
              </w:tc>
            </w:tr>
            <w:tr w:rsidR="00C72DBD">
              <w:trPr>
                <w:trHeight w:val="85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84</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31"/>
                      <w:rFonts w:ascii="Times New Roman" w:eastAsia="楷体" w:hAnsi="Times New Roman" w:cs="Times New Roman" w:hint="default"/>
                      <w:color w:val="auto"/>
                      <w:sz w:val="21"/>
                      <w:szCs w:val="21"/>
                      <w:lang w:bidi="ar"/>
                    </w:rPr>
                    <w:t>煤气发电零放散项目</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31"/>
                      <w:rFonts w:ascii="Times New Roman" w:eastAsia="楷体" w:hAnsi="Times New Roman" w:cs="Times New Roman" w:hint="default"/>
                      <w:color w:val="auto"/>
                      <w:sz w:val="21"/>
                      <w:szCs w:val="21"/>
                      <w:lang w:bidi="ar"/>
                    </w:rPr>
                    <w:t>设置</w:t>
                  </w:r>
                  <w:r>
                    <w:rPr>
                      <w:rStyle w:val="font11"/>
                      <w:rFonts w:eastAsia="楷体"/>
                      <w:color w:val="auto"/>
                      <w:sz w:val="21"/>
                      <w:szCs w:val="21"/>
                      <w:lang w:bidi="ar"/>
                    </w:rPr>
                    <w:t>U</w:t>
                  </w:r>
                  <w:r>
                    <w:rPr>
                      <w:rStyle w:val="font31"/>
                      <w:rFonts w:ascii="Times New Roman" w:eastAsia="楷体" w:hAnsi="Times New Roman" w:cs="Times New Roman" w:hint="default"/>
                      <w:color w:val="auto"/>
                      <w:sz w:val="21"/>
                      <w:szCs w:val="21"/>
                      <w:lang w:bidi="ar"/>
                    </w:rPr>
                    <w:t>型水封</w:t>
                  </w:r>
                  <w:r>
                    <w:rPr>
                      <w:rStyle w:val="font11"/>
                      <w:rFonts w:eastAsia="楷体"/>
                      <w:color w:val="auto"/>
                      <w:sz w:val="21"/>
                      <w:szCs w:val="21"/>
                      <w:lang w:bidi="ar"/>
                    </w:rPr>
                    <w:t>+</w:t>
                  </w:r>
                  <w:r>
                    <w:rPr>
                      <w:rStyle w:val="font31"/>
                      <w:rFonts w:ascii="Times New Roman" w:eastAsia="楷体" w:hAnsi="Times New Roman" w:cs="Times New Roman" w:hint="default"/>
                      <w:color w:val="auto"/>
                      <w:sz w:val="21"/>
                      <w:szCs w:val="21"/>
                      <w:lang w:bidi="ar"/>
                    </w:rPr>
                    <w:t>点火放散等措施，确保正常运行情况无煤气放散</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31"/>
                      <w:rFonts w:ascii="Times New Roman" w:eastAsia="楷体" w:hAnsi="Times New Roman" w:cs="Times New Roman" w:hint="default"/>
                      <w:color w:val="auto"/>
                      <w:sz w:val="21"/>
                      <w:szCs w:val="21"/>
                      <w:lang w:bidi="ar"/>
                    </w:rPr>
                    <w:t>减排：杜绝</w:t>
                  </w:r>
                  <w:r>
                    <w:rPr>
                      <w:rStyle w:val="font11"/>
                      <w:rFonts w:eastAsia="楷体"/>
                      <w:color w:val="auto"/>
                      <w:sz w:val="21"/>
                      <w:szCs w:val="21"/>
                      <w:lang w:bidi="ar"/>
                    </w:rPr>
                    <w:t>CO</w:t>
                  </w:r>
                  <w:r>
                    <w:rPr>
                      <w:rStyle w:val="font31"/>
                      <w:rFonts w:ascii="Times New Roman" w:eastAsia="楷体" w:hAnsi="Times New Roman" w:cs="Times New Roman" w:hint="default"/>
                      <w:color w:val="auto"/>
                      <w:sz w:val="21"/>
                      <w:szCs w:val="21"/>
                      <w:lang w:bidi="ar"/>
                    </w:rPr>
                    <w:t>异常外排</w:t>
                  </w:r>
                </w:p>
              </w:tc>
            </w:tr>
            <w:tr w:rsidR="00C72DBD">
              <w:trPr>
                <w:trHeight w:val="85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85</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31"/>
                      <w:rFonts w:ascii="Times New Roman" w:eastAsia="楷体" w:hAnsi="Times New Roman" w:cs="Times New Roman" w:hint="default"/>
                      <w:color w:val="auto"/>
                      <w:sz w:val="21"/>
                      <w:szCs w:val="21"/>
                      <w:lang w:bidi="ar"/>
                    </w:rPr>
                    <w:t>发电煤气干法除尘改造</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31"/>
                      <w:rFonts w:ascii="Times New Roman" w:eastAsia="楷体" w:hAnsi="Times New Roman" w:cs="Times New Roman" w:hint="default"/>
                      <w:color w:val="auto"/>
                      <w:sz w:val="21"/>
                      <w:szCs w:val="21"/>
                      <w:lang w:bidi="ar"/>
                    </w:rPr>
                    <w:t>发电工序的煤气全部经过布袋干法除尘，确保煤气成分洁净</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w:t>
                  </w:r>
                  <w:r>
                    <w:rPr>
                      <w:rStyle w:val="font11"/>
                      <w:rFonts w:eastAsia="楷体"/>
                      <w:color w:val="auto"/>
                      <w:sz w:val="21"/>
                      <w:szCs w:val="21"/>
                      <w:lang w:bidi="ar"/>
                    </w:rPr>
                    <w:t>PM</w:t>
                  </w:r>
                  <w:r>
                    <w:rPr>
                      <w:rStyle w:val="font41"/>
                      <w:rFonts w:ascii="Times New Roman" w:eastAsia="楷体" w:hAnsi="Times New Roman" w:cs="Times New Roman" w:hint="default"/>
                      <w:color w:val="auto"/>
                      <w:sz w:val="21"/>
                      <w:szCs w:val="21"/>
                      <w:lang w:bidi="ar"/>
                    </w:rPr>
                    <w:t>去除率大于</w:t>
                  </w:r>
                  <w:r>
                    <w:rPr>
                      <w:rStyle w:val="font11"/>
                      <w:rFonts w:eastAsia="楷体"/>
                      <w:color w:val="auto"/>
                      <w:sz w:val="21"/>
                      <w:szCs w:val="21"/>
                      <w:lang w:bidi="ar"/>
                    </w:rPr>
                    <w:t>99%</w:t>
                  </w:r>
                  <w:r>
                    <w:rPr>
                      <w:rStyle w:val="font41"/>
                      <w:rFonts w:ascii="Times New Roman" w:eastAsia="楷体" w:hAnsi="Times New Roman" w:cs="Times New Roman" w:hint="default"/>
                      <w:color w:val="auto"/>
                      <w:sz w:val="21"/>
                      <w:szCs w:val="21"/>
                      <w:lang w:bidi="ar"/>
                    </w:rPr>
                    <w:t>。</w:t>
                  </w:r>
                </w:p>
              </w:tc>
            </w:tr>
            <w:tr w:rsidR="00C72DBD">
              <w:trPr>
                <w:trHeight w:val="104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86</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31"/>
                      <w:rFonts w:ascii="Times New Roman" w:eastAsia="楷体" w:hAnsi="Times New Roman" w:cs="Times New Roman" w:hint="default"/>
                      <w:color w:val="auto"/>
                      <w:sz w:val="21"/>
                      <w:szCs w:val="21"/>
                      <w:lang w:bidi="ar"/>
                    </w:rPr>
                    <w:t>发电烟气脱硫提标项目</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31"/>
                      <w:rFonts w:ascii="Times New Roman" w:eastAsia="楷体" w:hAnsi="Times New Roman" w:cs="Times New Roman" w:hint="default"/>
                      <w:color w:val="auto"/>
                      <w:sz w:val="21"/>
                      <w:szCs w:val="21"/>
                      <w:lang w:bidi="ar"/>
                    </w:rPr>
                    <w:t>采用石灰</w:t>
                  </w:r>
                  <w:r>
                    <w:rPr>
                      <w:rStyle w:val="font11"/>
                      <w:rFonts w:eastAsia="楷体"/>
                      <w:color w:val="auto"/>
                      <w:sz w:val="21"/>
                      <w:szCs w:val="21"/>
                      <w:lang w:bidi="ar"/>
                    </w:rPr>
                    <w:t>-</w:t>
                  </w:r>
                  <w:r>
                    <w:rPr>
                      <w:rStyle w:val="font31"/>
                      <w:rFonts w:ascii="Times New Roman" w:eastAsia="楷体" w:hAnsi="Times New Roman" w:cs="Times New Roman" w:hint="default"/>
                      <w:color w:val="auto"/>
                      <w:sz w:val="21"/>
                      <w:szCs w:val="21"/>
                      <w:lang w:bidi="ar"/>
                    </w:rPr>
                    <w:t>石膏法活钙基半干法脱硫等工艺进行脱硫，稳定满足发电行业超低限值要求。</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w:t>
                  </w:r>
                  <w:r>
                    <w:rPr>
                      <w:rStyle w:val="font21"/>
                      <w:rFonts w:eastAsia="楷体"/>
                      <w:color w:val="auto"/>
                      <w:sz w:val="21"/>
                      <w:szCs w:val="21"/>
                      <w:lang w:bidi="ar"/>
                    </w:rPr>
                    <w:t>SO</w:t>
                  </w:r>
                  <w:r>
                    <w:rPr>
                      <w:rStyle w:val="font21"/>
                      <w:rFonts w:eastAsia="楷体"/>
                      <w:color w:val="auto"/>
                      <w:sz w:val="21"/>
                      <w:szCs w:val="21"/>
                      <w:vertAlign w:val="subscript"/>
                      <w:lang w:bidi="ar"/>
                    </w:rPr>
                    <w:t>2</w:t>
                  </w:r>
                  <w:r>
                    <w:rPr>
                      <w:rStyle w:val="font41"/>
                      <w:rFonts w:ascii="Times New Roman" w:eastAsia="楷体" w:hAnsi="Times New Roman" w:cs="Times New Roman" w:hint="default"/>
                      <w:color w:val="auto"/>
                      <w:sz w:val="21"/>
                      <w:szCs w:val="21"/>
                      <w:lang w:bidi="ar"/>
                    </w:rPr>
                    <w:t>排放限值低于</w:t>
                  </w:r>
                  <w:r>
                    <w:rPr>
                      <w:rStyle w:val="font21"/>
                      <w:rFonts w:eastAsia="楷体"/>
                      <w:color w:val="auto"/>
                      <w:sz w:val="21"/>
                      <w:szCs w:val="21"/>
                      <w:lang w:bidi="ar"/>
                    </w:rPr>
                    <w:t>35mg/m</w:t>
                  </w:r>
                  <w:r>
                    <w:rPr>
                      <w:rStyle w:val="font21"/>
                      <w:rFonts w:eastAsia="楷体"/>
                      <w:color w:val="auto"/>
                      <w:sz w:val="21"/>
                      <w:szCs w:val="21"/>
                      <w:vertAlign w:val="superscript"/>
                      <w:lang w:bidi="ar"/>
                    </w:rPr>
                    <w:t>3</w:t>
                  </w:r>
                  <w:r>
                    <w:rPr>
                      <w:rStyle w:val="font41"/>
                      <w:rFonts w:ascii="Times New Roman" w:eastAsia="楷体" w:hAnsi="Times New Roman" w:cs="Times New Roman" w:hint="default"/>
                      <w:color w:val="auto"/>
                      <w:sz w:val="21"/>
                      <w:szCs w:val="21"/>
                      <w:lang w:bidi="ar"/>
                    </w:rPr>
                    <w:t>，稳定满足超低排放限值。</w:t>
                  </w:r>
                </w:p>
              </w:tc>
            </w:tr>
            <w:tr w:rsidR="00C72DBD">
              <w:trPr>
                <w:trHeight w:val="85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87</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31"/>
                      <w:rFonts w:ascii="Times New Roman" w:eastAsia="楷体" w:hAnsi="Times New Roman" w:cs="Times New Roman" w:hint="default"/>
                      <w:color w:val="auto"/>
                      <w:sz w:val="21"/>
                      <w:szCs w:val="21"/>
                      <w:lang w:bidi="ar"/>
                    </w:rPr>
                    <w:t>发电烟气脱硝提标项目</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31"/>
                      <w:rFonts w:ascii="Times New Roman" w:eastAsia="楷体" w:hAnsi="Times New Roman" w:cs="Times New Roman" w:hint="default"/>
                      <w:color w:val="auto"/>
                      <w:sz w:val="21"/>
                      <w:szCs w:val="21"/>
                      <w:lang w:bidi="ar"/>
                    </w:rPr>
                    <w:t>采用</w:t>
                  </w:r>
                  <w:r>
                    <w:rPr>
                      <w:rStyle w:val="font11"/>
                      <w:rFonts w:eastAsia="楷体"/>
                      <w:color w:val="auto"/>
                      <w:sz w:val="21"/>
                      <w:szCs w:val="21"/>
                      <w:lang w:bidi="ar"/>
                    </w:rPr>
                    <w:t>SCR</w:t>
                  </w:r>
                  <w:r>
                    <w:rPr>
                      <w:rStyle w:val="font31"/>
                      <w:rFonts w:ascii="Times New Roman" w:eastAsia="楷体" w:hAnsi="Times New Roman" w:cs="Times New Roman" w:hint="default"/>
                      <w:color w:val="auto"/>
                      <w:sz w:val="21"/>
                      <w:szCs w:val="21"/>
                      <w:lang w:bidi="ar"/>
                    </w:rPr>
                    <w:t>和低氮燃烧等处理措施，稳定满足发电行业超低限值要求。</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w:t>
                  </w:r>
                  <w:r>
                    <w:rPr>
                      <w:rStyle w:val="font21"/>
                      <w:rFonts w:eastAsia="楷体"/>
                      <w:color w:val="auto"/>
                      <w:sz w:val="21"/>
                      <w:szCs w:val="21"/>
                      <w:lang w:bidi="ar"/>
                    </w:rPr>
                    <w:t>NO</w:t>
                  </w:r>
                  <w:r>
                    <w:rPr>
                      <w:rStyle w:val="font21"/>
                      <w:rFonts w:eastAsia="楷体"/>
                      <w:color w:val="auto"/>
                      <w:sz w:val="21"/>
                      <w:szCs w:val="21"/>
                      <w:vertAlign w:val="subscript"/>
                      <w:lang w:bidi="ar"/>
                    </w:rPr>
                    <w:t>x</w:t>
                  </w:r>
                  <w:r>
                    <w:rPr>
                      <w:rStyle w:val="font41"/>
                      <w:rFonts w:ascii="Times New Roman" w:eastAsia="楷体" w:hAnsi="Times New Roman" w:cs="Times New Roman" w:hint="default"/>
                      <w:color w:val="auto"/>
                      <w:sz w:val="21"/>
                      <w:szCs w:val="21"/>
                      <w:lang w:bidi="ar"/>
                    </w:rPr>
                    <w:t>排放低于</w:t>
                  </w:r>
                  <w:r>
                    <w:rPr>
                      <w:rStyle w:val="font21"/>
                      <w:rFonts w:eastAsia="楷体"/>
                      <w:color w:val="auto"/>
                      <w:sz w:val="21"/>
                      <w:szCs w:val="21"/>
                      <w:lang w:bidi="ar"/>
                    </w:rPr>
                    <w:t>50mg/m</w:t>
                  </w:r>
                  <w:r>
                    <w:rPr>
                      <w:rStyle w:val="font21"/>
                      <w:rFonts w:eastAsia="楷体"/>
                      <w:color w:val="auto"/>
                      <w:sz w:val="21"/>
                      <w:szCs w:val="21"/>
                      <w:vertAlign w:val="superscript"/>
                      <w:lang w:bidi="ar"/>
                    </w:rPr>
                    <w:t>3</w:t>
                  </w:r>
                  <w:r>
                    <w:rPr>
                      <w:rStyle w:val="font41"/>
                      <w:rFonts w:ascii="Times New Roman" w:eastAsia="楷体" w:hAnsi="Times New Roman" w:cs="Times New Roman" w:hint="default"/>
                      <w:color w:val="auto"/>
                      <w:sz w:val="21"/>
                      <w:szCs w:val="21"/>
                      <w:lang w:bidi="ar"/>
                    </w:rPr>
                    <w:t>，稳定满足超低排放限值。</w:t>
                  </w:r>
                </w:p>
              </w:tc>
            </w:tr>
            <w:tr w:rsidR="00C72DBD">
              <w:trPr>
                <w:trHeight w:val="85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88</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发电厂界围挡降噪项目</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Fonts w:eastAsia="楷体"/>
                      <w:kern w:val="0"/>
                      <w:szCs w:val="21"/>
                      <w:lang w:bidi="ar"/>
                    </w:rPr>
                    <w:t>紧邻厂</w:t>
                  </w:r>
                  <w:r>
                    <w:rPr>
                      <w:rFonts w:eastAsia="楷体" w:hint="eastAsia"/>
                      <w:kern w:val="0"/>
                      <w:szCs w:val="21"/>
                      <w:lang w:bidi="ar"/>
                    </w:rPr>
                    <w:t>界</w:t>
                  </w:r>
                  <w:r>
                    <w:rPr>
                      <w:rFonts w:eastAsia="楷体"/>
                      <w:kern w:val="0"/>
                      <w:szCs w:val="21"/>
                      <w:lang w:bidi="ar"/>
                    </w:rPr>
                    <w:t>区域增设降噪板材，大型机组采用封闭</w:t>
                  </w:r>
                  <w:r>
                    <w:rPr>
                      <w:rStyle w:val="font11"/>
                      <w:rFonts w:eastAsia="楷体"/>
                      <w:color w:val="auto"/>
                      <w:sz w:val="21"/>
                      <w:szCs w:val="21"/>
                      <w:lang w:bidi="ar"/>
                    </w:rPr>
                    <w:t>+</w:t>
                  </w:r>
                  <w:r>
                    <w:rPr>
                      <w:rStyle w:val="font31"/>
                      <w:rFonts w:ascii="Times New Roman" w:eastAsia="楷体" w:hAnsi="Times New Roman" w:cs="Times New Roman" w:hint="default"/>
                      <w:color w:val="auto"/>
                      <w:sz w:val="21"/>
                      <w:szCs w:val="21"/>
                      <w:lang w:bidi="ar"/>
                    </w:rPr>
                    <w:t>基础降噪措施。</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Fonts w:eastAsia="楷体"/>
                      <w:kern w:val="0"/>
                      <w:szCs w:val="21"/>
                      <w:lang w:bidi="ar"/>
                    </w:rPr>
                    <w:t>减排：大幅降低噪声外排。</w:t>
                  </w:r>
                </w:p>
              </w:tc>
            </w:tr>
            <w:tr w:rsidR="00C72DBD">
              <w:trPr>
                <w:trHeight w:val="70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89</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发电系统整体封闭项目</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Fonts w:eastAsia="楷体"/>
                      <w:kern w:val="0"/>
                      <w:szCs w:val="21"/>
                      <w:lang w:bidi="ar"/>
                    </w:rPr>
                    <w:t>所有车间全部完成高标准封闭。</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Fonts w:eastAsia="楷体"/>
                      <w:kern w:val="0"/>
                      <w:szCs w:val="21"/>
                      <w:lang w:bidi="ar"/>
                    </w:rPr>
                    <w:t>减排：大幅降低噪声外排，规避无组织外排。</w:t>
                  </w:r>
                </w:p>
              </w:tc>
            </w:tr>
            <w:tr w:rsidR="00C72DBD">
              <w:trPr>
                <w:trHeight w:val="70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90</w:t>
                  </w:r>
                </w:p>
              </w:tc>
              <w:tc>
                <w:tcPr>
                  <w:tcW w:w="600" w:type="dxa"/>
                  <w:vMerge/>
                  <w:tcBorders>
                    <w:left w:val="single" w:sz="4" w:space="0" w:color="000000"/>
                    <w:bottom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发电固废合规处置提升</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Fonts w:eastAsia="楷体"/>
                      <w:kern w:val="0"/>
                      <w:szCs w:val="21"/>
                      <w:lang w:bidi="ar"/>
                    </w:rPr>
                    <w:t>脱硫石膏交由资质第三方处置。</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Fonts w:eastAsia="楷体"/>
                      <w:kern w:val="0"/>
                      <w:szCs w:val="21"/>
                      <w:lang w:bidi="ar"/>
                    </w:rPr>
                    <w:t>减排：固废全部合规处置。</w:t>
                  </w:r>
                </w:p>
              </w:tc>
            </w:tr>
            <w:tr w:rsidR="00C72DBD">
              <w:trPr>
                <w:trHeight w:val="1134"/>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91</w:t>
                  </w:r>
                </w:p>
              </w:tc>
              <w:tc>
                <w:tcPr>
                  <w:tcW w:w="600" w:type="dxa"/>
                  <w:vMerge w:val="restart"/>
                  <w:tcBorders>
                    <w:top w:val="single" w:sz="4" w:space="0" w:color="000000"/>
                    <w:left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公辅</w:t>
                  </w: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节能水泵提标改造</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将厂区内原有高耗能大功率水泵改为节能水泵，提高水泵效率，同时降低电耗能耗。</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节能：节电量</w:t>
                  </w:r>
                  <w:r>
                    <w:rPr>
                      <w:rStyle w:val="font11"/>
                      <w:rFonts w:eastAsia="楷体"/>
                      <w:color w:val="auto"/>
                      <w:sz w:val="21"/>
                      <w:szCs w:val="21"/>
                      <w:lang w:bidi="ar"/>
                    </w:rPr>
                    <w:t>1362.3</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kWh/</w:t>
                  </w:r>
                  <w:r>
                    <w:rPr>
                      <w:rStyle w:val="font41"/>
                      <w:rFonts w:ascii="Times New Roman" w:eastAsia="楷体" w:hAnsi="Times New Roman" w:cs="Times New Roman" w:hint="default"/>
                      <w:color w:val="auto"/>
                      <w:sz w:val="21"/>
                      <w:szCs w:val="21"/>
                      <w:lang w:bidi="ar"/>
                    </w:rPr>
                    <w:t>年，节能量</w:t>
                  </w:r>
                  <w:r>
                    <w:rPr>
                      <w:rStyle w:val="font11"/>
                      <w:rFonts w:eastAsia="楷体"/>
                      <w:color w:val="auto"/>
                      <w:sz w:val="21"/>
                      <w:szCs w:val="21"/>
                      <w:lang w:bidi="ar"/>
                    </w:rPr>
                    <w:t>1680</w:t>
                  </w:r>
                  <w:r>
                    <w:rPr>
                      <w:rStyle w:val="font41"/>
                      <w:rFonts w:ascii="Times New Roman" w:eastAsia="楷体" w:hAnsi="Times New Roman" w:cs="Times New Roman" w:hint="default"/>
                      <w:color w:val="auto"/>
                      <w:sz w:val="21"/>
                      <w:szCs w:val="21"/>
                      <w:lang w:bidi="ar"/>
                    </w:rPr>
                    <w:t>吨标煤</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r>
                    <w:rPr>
                      <w:rStyle w:val="font11"/>
                      <w:rFonts w:eastAsia="楷体"/>
                      <w:color w:val="auto"/>
                      <w:sz w:val="21"/>
                      <w:szCs w:val="21"/>
                      <w:lang w:bidi="ar"/>
                    </w:rPr>
                    <w:br/>
                  </w:r>
                  <w:r>
                    <w:rPr>
                      <w:rStyle w:val="font41"/>
                      <w:rFonts w:ascii="Times New Roman" w:eastAsia="楷体" w:hAnsi="Times New Roman" w:cs="Times New Roman" w:hint="default"/>
                      <w:color w:val="auto"/>
                      <w:sz w:val="21"/>
                      <w:szCs w:val="21"/>
                      <w:lang w:bidi="ar"/>
                    </w:rPr>
                    <w:t>增效：经济效益</w:t>
                  </w:r>
                  <w:r>
                    <w:rPr>
                      <w:rStyle w:val="font11"/>
                      <w:rFonts w:eastAsia="楷体"/>
                      <w:color w:val="auto"/>
                      <w:sz w:val="21"/>
                      <w:szCs w:val="21"/>
                      <w:lang w:bidi="ar"/>
                    </w:rPr>
                    <w:t>198</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p>
              </w:tc>
            </w:tr>
            <w:tr w:rsidR="00C72DBD">
              <w:trPr>
                <w:trHeight w:val="108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92</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全厂除尘风机变频提标改造</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根据不同工序的生产特点，针对性进行差异化变频控制，在确保颗粒物达标排放的前提下调节频率。</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节能：节电量约</w:t>
                  </w:r>
                  <w:r>
                    <w:rPr>
                      <w:rStyle w:val="font11"/>
                      <w:rFonts w:eastAsia="楷体"/>
                      <w:color w:val="auto"/>
                      <w:sz w:val="21"/>
                      <w:szCs w:val="21"/>
                      <w:lang w:bidi="ar"/>
                    </w:rPr>
                    <w:t>397.24kWh/</w:t>
                  </w:r>
                  <w:r>
                    <w:rPr>
                      <w:rStyle w:val="font41"/>
                      <w:rFonts w:ascii="Times New Roman" w:eastAsia="楷体" w:hAnsi="Times New Roman" w:cs="Times New Roman" w:hint="default"/>
                      <w:color w:val="auto"/>
                      <w:sz w:val="21"/>
                      <w:szCs w:val="21"/>
                      <w:lang w:bidi="ar"/>
                    </w:rPr>
                    <w:t>年，节能量</w:t>
                  </w:r>
                  <w:r>
                    <w:rPr>
                      <w:rStyle w:val="font11"/>
                      <w:rFonts w:eastAsia="楷体"/>
                      <w:color w:val="auto"/>
                      <w:sz w:val="21"/>
                      <w:szCs w:val="21"/>
                      <w:lang w:bidi="ar"/>
                    </w:rPr>
                    <w:t>509.29</w:t>
                  </w:r>
                  <w:r>
                    <w:rPr>
                      <w:rStyle w:val="font41"/>
                      <w:rFonts w:ascii="Times New Roman" w:eastAsia="楷体" w:hAnsi="Times New Roman" w:cs="Times New Roman" w:hint="default"/>
                      <w:color w:val="auto"/>
                      <w:sz w:val="21"/>
                      <w:szCs w:val="21"/>
                      <w:lang w:bidi="ar"/>
                    </w:rPr>
                    <w:t>吨标煤</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r>
                    <w:rPr>
                      <w:rStyle w:val="font11"/>
                      <w:rFonts w:eastAsia="楷体"/>
                      <w:color w:val="auto"/>
                      <w:sz w:val="21"/>
                      <w:szCs w:val="21"/>
                      <w:lang w:bidi="ar"/>
                    </w:rPr>
                    <w:br/>
                  </w:r>
                  <w:r>
                    <w:rPr>
                      <w:rStyle w:val="font41"/>
                      <w:rFonts w:ascii="Times New Roman" w:eastAsia="楷体" w:hAnsi="Times New Roman" w:cs="Times New Roman" w:hint="default"/>
                      <w:color w:val="auto"/>
                      <w:sz w:val="21"/>
                      <w:szCs w:val="21"/>
                      <w:lang w:bidi="ar"/>
                    </w:rPr>
                    <w:t>增效：经济效益</w:t>
                  </w:r>
                  <w:r>
                    <w:rPr>
                      <w:rStyle w:val="font11"/>
                      <w:rFonts w:eastAsia="楷体"/>
                      <w:color w:val="auto"/>
                      <w:sz w:val="21"/>
                      <w:szCs w:val="21"/>
                      <w:lang w:bidi="ar"/>
                    </w:rPr>
                    <w:t>198</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p>
              </w:tc>
            </w:tr>
            <w:tr w:rsidR="00C72DBD">
              <w:trPr>
                <w:trHeight w:val="1134"/>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93</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厂区制氧机组项目</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新建</w:t>
                  </w:r>
                  <w:r>
                    <w:rPr>
                      <w:rStyle w:val="font11"/>
                      <w:rFonts w:eastAsia="楷体"/>
                      <w:color w:val="auto"/>
                      <w:sz w:val="21"/>
                      <w:szCs w:val="21"/>
                      <w:lang w:bidi="ar"/>
                    </w:rPr>
                    <w:t>15000</w:t>
                  </w:r>
                  <w:r>
                    <w:rPr>
                      <w:rStyle w:val="font41"/>
                      <w:rFonts w:ascii="Times New Roman" w:eastAsia="楷体" w:hAnsi="Times New Roman" w:cs="Times New Roman" w:hint="default"/>
                      <w:color w:val="auto"/>
                      <w:sz w:val="21"/>
                      <w:szCs w:val="21"/>
                      <w:lang w:bidi="ar"/>
                    </w:rPr>
                    <w:t>制氧机组，淘汰效率低下制氧机组，有限提高效率。</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节能：节电量约</w:t>
                  </w:r>
                  <w:r>
                    <w:rPr>
                      <w:rStyle w:val="font11"/>
                      <w:rFonts w:eastAsia="楷体"/>
                      <w:color w:val="auto"/>
                      <w:sz w:val="21"/>
                      <w:szCs w:val="21"/>
                      <w:lang w:bidi="ar"/>
                    </w:rPr>
                    <w:t>1890</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kWh/</w:t>
                  </w:r>
                  <w:r>
                    <w:rPr>
                      <w:rStyle w:val="font41"/>
                      <w:rFonts w:ascii="Times New Roman" w:eastAsia="楷体" w:hAnsi="Times New Roman" w:cs="Times New Roman" w:hint="default"/>
                      <w:color w:val="auto"/>
                      <w:sz w:val="21"/>
                      <w:szCs w:val="21"/>
                      <w:lang w:bidi="ar"/>
                    </w:rPr>
                    <w:t>年，节能量</w:t>
                  </w:r>
                  <w:r>
                    <w:rPr>
                      <w:rStyle w:val="font11"/>
                      <w:rFonts w:eastAsia="楷体"/>
                      <w:color w:val="auto"/>
                      <w:sz w:val="21"/>
                      <w:szCs w:val="21"/>
                      <w:lang w:bidi="ar"/>
                    </w:rPr>
                    <w:t>2323</w:t>
                  </w:r>
                  <w:r>
                    <w:rPr>
                      <w:rStyle w:val="font41"/>
                      <w:rFonts w:ascii="Times New Roman" w:eastAsia="楷体" w:hAnsi="Times New Roman" w:cs="Times New Roman" w:hint="default"/>
                      <w:color w:val="auto"/>
                      <w:sz w:val="21"/>
                      <w:szCs w:val="21"/>
                      <w:lang w:bidi="ar"/>
                    </w:rPr>
                    <w:t>吨标煤</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r>
                    <w:rPr>
                      <w:rStyle w:val="font11"/>
                      <w:rFonts w:eastAsia="楷体"/>
                      <w:color w:val="auto"/>
                      <w:sz w:val="21"/>
                      <w:szCs w:val="21"/>
                      <w:lang w:bidi="ar"/>
                    </w:rPr>
                    <w:br/>
                  </w:r>
                  <w:r>
                    <w:rPr>
                      <w:rStyle w:val="font41"/>
                      <w:rFonts w:ascii="Times New Roman" w:eastAsia="楷体" w:hAnsi="Times New Roman" w:cs="Times New Roman" w:hint="default"/>
                      <w:color w:val="auto"/>
                      <w:sz w:val="21"/>
                      <w:szCs w:val="21"/>
                      <w:lang w:bidi="ar"/>
                    </w:rPr>
                    <w:t>增效：经济效益</w:t>
                  </w:r>
                  <w:r>
                    <w:rPr>
                      <w:rStyle w:val="font11"/>
                      <w:rFonts w:eastAsia="楷体"/>
                      <w:color w:val="auto"/>
                      <w:sz w:val="21"/>
                      <w:szCs w:val="21"/>
                      <w:lang w:bidi="ar"/>
                    </w:rPr>
                    <w:t>4956</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p>
              </w:tc>
            </w:tr>
            <w:tr w:rsidR="00C72DBD">
              <w:trPr>
                <w:trHeight w:val="1417"/>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94</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空压风脱水后置换氮气</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采用零气耗压缩余热吸附式干燥机技术，将空压风露点降低到</w:t>
                  </w:r>
                  <w:r>
                    <w:rPr>
                      <w:rStyle w:val="font11"/>
                      <w:rFonts w:eastAsia="楷体"/>
                      <w:color w:val="auto"/>
                      <w:sz w:val="21"/>
                      <w:szCs w:val="21"/>
                      <w:lang w:bidi="ar"/>
                    </w:rPr>
                    <w:t>-40℃</w:t>
                  </w:r>
                  <w:r>
                    <w:rPr>
                      <w:rStyle w:val="font41"/>
                      <w:rFonts w:ascii="Times New Roman" w:eastAsia="楷体" w:hAnsi="Times New Roman" w:cs="Times New Roman" w:hint="default"/>
                      <w:color w:val="auto"/>
                      <w:sz w:val="21"/>
                      <w:szCs w:val="21"/>
                      <w:lang w:bidi="ar"/>
                    </w:rPr>
                    <w:t>，解决空压风露点高易析出大量水份的问题，同时不损耗空压风</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节能：节电量约</w:t>
                  </w:r>
                  <w:r>
                    <w:rPr>
                      <w:rStyle w:val="font11"/>
                      <w:rFonts w:eastAsia="楷体"/>
                      <w:color w:val="auto"/>
                      <w:sz w:val="21"/>
                      <w:szCs w:val="21"/>
                      <w:lang w:bidi="ar"/>
                    </w:rPr>
                    <w:t>1315</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kWh/</w:t>
                  </w:r>
                  <w:r>
                    <w:rPr>
                      <w:rStyle w:val="font41"/>
                      <w:rFonts w:ascii="Times New Roman" w:eastAsia="楷体" w:hAnsi="Times New Roman" w:cs="Times New Roman" w:hint="default"/>
                      <w:color w:val="auto"/>
                      <w:sz w:val="21"/>
                      <w:szCs w:val="21"/>
                      <w:lang w:bidi="ar"/>
                    </w:rPr>
                    <w:t>年，节能量</w:t>
                  </w:r>
                  <w:r>
                    <w:rPr>
                      <w:rStyle w:val="font11"/>
                      <w:rFonts w:eastAsia="楷体"/>
                      <w:color w:val="auto"/>
                      <w:sz w:val="21"/>
                      <w:szCs w:val="21"/>
                      <w:lang w:bidi="ar"/>
                    </w:rPr>
                    <w:t>1616</w:t>
                  </w:r>
                  <w:r>
                    <w:rPr>
                      <w:rStyle w:val="font41"/>
                      <w:rFonts w:ascii="Times New Roman" w:eastAsia="楷体" w:hAnsi="Times New Roman" w:cs="Times New Roman" w:hint="default"/>
                      <w:color w:val="auto"/>
                      <w:sz w:val="21"/>
                      <w:szCs w:val="21"/>
                      <w:lang w:bidi="ar"/>
                    </w:rPr>
                    <w:t>吨标煤</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r>
                    <w:rPr>
                      <w:rStyle w:val="font11"/>
                      <w:rFonts w:eastAsia="楷体"/>
                      <w:color w:val="auto"/>
                      <w:sz w:val="21"/>
                      <w:szCs w:val="21"/>
                      <w:lang w:bidi="ar"/>
                    </w:rPr>
                    <w:br/>
                  </w:r>
                  <w:r>
                    <w:rPr>
                      <w:rStyle w:val="font41"/>
                      <w:rFonts w:ascii="Times New Roman" w:eastAsia="楷体" w:hAnsi="Times New Roman" w:cs="Times New Roman" w:hint="default"/>
                      <w:color w:val="auto"/>
                      <w:sz w:val="21"/>
                      <w:szCs w:val="21"/>
                      <w:lang w:bidi="ar"/>
                    </w:rPr>
                    <w:t>增效：经济效益</w:t>
                  </w:r>
                  <w:r>
                    <w:rPr>
                      <w:rStyle w:val="font11"/>
                      <w:rFonts w:eastAsia="楷体"/>
                      <w:color w:val="auto"/>
                      <w:sz w:val="21"/>
                      <w:szCs w:val="21"/>
                      <w:lang w:bidi="ar"/>
                    </w:rPr>
                    <w:t>630</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p>
              </w:tc>
            </w:tr>
            <w:tr w:rsidR="00C72DBD">
              <w:trPr>
                <w:trHeight w:val="1701"/>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95</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制氧分子筛蒸汽</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电加热改造</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对使用过的分子筛加温再生，利用余热蒸汽将再生气加温至饱和温度，再使用电加热系统对再生气升温，减少电加热的使用功率，从而降低电量消耗，充分利用余热</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节能：节电量约</w:t>
                  </w:r>
                  <w:r>
                    <w:rPr>
                      <w:rStyle w:val="font11"/>
                      <w:rFonts w:eastAsia="楷体"/>
                      <w:color w:val="auto"/>
                      <w:sz w:val="21"/>
                      <w:szCs w:val="21"/>
                      <w:lang w:bidi="ar"/>
                    </w:rPr>
                    <w:t>417</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kWh/</w:t>
                  </w:r>
                  <w:r>
                    <w:rPr>
                      <w:rStyle w:val="font41"/>
                      <w:rFonts w:ascii="Times New Roman" w:eastAsia="楷体" w:hAnsi="Times New Roman" w:cs="Times New Roman" w:hint="default"/>
                      <w:color w:val="auto"/>
                      <w:sz w:val="21"/>
                      <w:szCs w:val="21"/>
                      <w:lang w:bidi="ar"/>
                    </w:rPr>
                    <w:t>年，节能量</w:t>
                  </w:r>
                  <w:r>
                    <w:rPr>
                      <w:rStyle w:val="font11"/>
                      <w:rFonts w:eastAsia="楷体"/>
                      <w:color w:val="auto"/>
                      <w:sz w:val="21"/>
                      <w:szCs w:val="21"/>
                      <w:lang w:bidi="ar"/>
                    </w:rPr>
                    <w:t>512</w:t>
                  </w:r>
                  <w:r>
                    <w:rPr>
                      <w:rStyle w:val="font41"/>
                      <w:rFonts w:ascii="Times New Roman" w:eastAsia="楷体" w:hAnsi="Times New Roman" w:cs="Times New Roman" w:hint="default"/>
                      <w:color w:val="auto"/>
                      <w:sz w:val="21"/>
                      <w:szCs w:val="21"/>
                      <w:lang w:bidi="ar"/>
                    </w:rPr>
                    <w:t>吨标煤</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r>
                    <w:rPr>
                      <w:rStyle w:val="font11"/>
                      <w:rFonts w:eastAsia="楷体"/>
                      <w:color w:val="auto"/>
                      <w:sz w:val="21"/>
                      <w:szCs w:val="21"/>
                      <w:lang w:bidi="ar"/>
                    </w:rPr>
                    <w:br/>
                  </w:r>
                  <w:r>
                    <w:rPr>
                      <w:rStyle w:val="font41"/>
                      <w:rFonts w:ascii="Times New Roman" w:eastAsia="楷体" w:hAnsi="Times New Roman" w:cs="Times New Roman" w:hint="default"/>
                      <w:color w:val="auto"/>
                      <w:sz w:val="21"/>
                      <w:szCs w:val="21"/>
                      <w:lang w:bidi="ar"/>
                    </w:rPr>
                    <w:t>增效：经济效益</w:t>
                  </w:r>
                  <w:r>
                    <w:rPr>
                      <w:rStyle w:val="font11"/>
                      <w:rFonts w:eastAsia="楷体"/>
                      <w:color w:val="auto"/>
                      <w:sz w:val="21"/>
                      <w:szCs w:val="21"/>
                      <w:lang w:bidi="ar"/>
                    </w:rPr>
                    <w:t>194</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p>
              </w:tc>
            </w:tr>
            <w:tr w:rsidR="00C72DBD">
              <w:trPr>
                <w:trHeight w:val="1134"/>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96</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厂区除尘器空压风置换氮气改造</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空压风能耗低于氮气能耗，对各单位除尘器反吹使用空压风置换氮气，降低能耗。</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节能：节氮气量约</w:t>
                  </w:r>
                  <w:r>
                    <w:rPr>
                      <w:rStyle w:val="font11"/>
                      <w:rFonts w:eastAsia="楷体"/>
                      <w:color w:val="auto"/>
                      <w:sz w:val="21"/>
                      <w:szCs w:val="21"/>
                      <w:lang w:bidi="ar"/>
                    </w:rPr>
                    <w:t>5000m</w:t>
                  </w:r>
                  <w:r>
                    <w:rPr>
                      <w:rStyle w:val="font11"/>
                      <w:rFonts w:eastAsia="楷体"/>
                      <w:color w:val="auto"/>
                      <w:sz w:val="21"/>
                      <w:szCs w:val="21"/>
                      <w:vertAlign w:val="superscript"/>
                      <w:lang w:bidi="ar"/>
                    </w:rPr>
                    <w:t>3</w:t>
                  </w:r>
                  <w:r>
                    <w:rPr>
                      <w:rStyle w:val="font11"/>
                      <w:rFonts w:eastAsia="楷体"/>
                      <w:color w:val="auto"/>
                      <w:sz w:val="21"/>
                      <w:szCs w:val="21"/>
                      <w:lang w:bidi="ar"/>
                    </w:rPr>
                    <w:t>/h</w:t>
                  </w:r>
                  <w:r>
                    <w:rPr>
                      <w:rStyle w:val="font41"/>
                      <w:rFonts w:ascii="Times New Roman" w:eastAsia="楷体" w:hAnsi="Times New Roman" w:cs="Times New Roman" w:hint="default"/>
                      <w:color w:val="auto"/>
                      <w:sz w:val="21"/>
                      <w:szCs w:val="21"/>
                      <w:lang w:bidi="ar"/>
                    </w:rPr>
                    <w:t>，节电量</w:t>
                  </w:r>
                  <w:r>
                    <w:rPr>
                      <w:rStyle w:val="font11"/>
                      <w:rFonts w:eastAsia="楷体"/>
                      <w:color w:val="auto"/>
                      <w:sz w:val="21"/>
                      <w:szCs w:val="21"/>
                      <w:lang w:bidi="ar"/>
                    </w:rPr>
                    <w:t>385kWh/</w:t>
                  </w:r>
                  <w:r>
                    <w:rPr>
                      <w:rStyle w:val="font41"/>
                      <w:rFonts w:ascii="Times New Roman" w:eastAsia="楷体" w:hAnsi="Times New Roman" w:cs="Times New Roman" w:hint="default"/>
                      <w:color w:val="auto"/>
                      <w:sz w:val="21"/>
                      <w:szCs w:val="21"/>
                      <w:lang w:bidi="ar"/>
                    </w:rPr>
                    <w:t>年，节能量</w:t>
                  </w:r>
                  <w:r>
                    <w:rPr>
                      <w:rStyle w:val="font11"/>
                      <w:rFonts w:eastAsia="楷体"/>
                      <w:color w:val="auto"/>
                      <w:sz w:val="21"/>
                      <w:szCs w:val="21"/>
                      <w:lang w:bidi="ar"/>
                    </w:rPr>
                    <w:t>473</w:t>
                  </w:r>
                  <w:r>
                    <w:rPr>
                      <w:rStyle w:val="font41"/>
                      <w:rFonts w:ascii="Times New Roman" w:eastAsia="楷体" w:hAnsi="Times New Roman" w:cs="Times New Roman" w:hint="default"/>
                      <w:color w:val="auto"/>
                      <w:sz w:val="21"/>
                      <w:szCs w:val="21"/>
                      <w:lang w:bidi="ar"/>
                    </w:rPr>
                    <w:t>吨标煤</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r>
                    <w:rPr>
                      <w:rStyle w:val="font11"/>
                      <w:rFonts w:eastAsia="楷体"/>
                      <w:color w:val="auto"/>
                      <w:sz w:val="21"/>
                      <w:szCs w:val="21"/>
                      <w:lang w:bidi="ar"/>
                    </w:rPr>
                    <w:br/>
                  </w:r>
                  <w:r>
                    <w:rPr>
                      <w:rStyle w:val="font41"/>
                      <w:rFonts w:ascii="Times New Roman" w:eastAsia="楷体" w:hAnsi="Times New Roman" w:cs="Times New Roman" w:hint="default"/>
                      <w:color w:val="auto"/>
                      <w:sz w:val="21"/>
                      <w:szCs w:val="21"/>
                      <w:lang w:bidi="ar"/>
                    </w:rPr>
                    <w:t>增效：经济效益</w:t>
                  </w:r>
                  <w:r>
                    <w:rPr>
                      <w:rStyle w:val="font11"/>
                      <w:rFonts w:eastAsia="楷体"/>
                      <w:color w:val="auto"/>
                      <w:sz w:val="21"/>
                      <w:szCs w:val="21"/>
                      <w:lang w:bidi="ar"/>
                    </w:rPr>
                    <w:t>179</w:t>
                  </w:r>
                  <w:r>
                    <w:rPr>
                      <w:rStyle w:val="font41"/>
                      <w:rFonts w:ascii="Times New Roman" w:eastAsia="楷体" w:hAnsi="Times New Roman" w:cs="Times New Roman" w:hint="default"/>
                      <w:color w:val="auto"/>
                      <w:sz w:val="21"/>
                      <w:szCs w:val="21"/>
                      <w:lang w:bidi="ar"/>
                    </w:rPr>
                    <w:t>万</w:t>
                  </w:r>
                  <w:r>
                    <w:rPr>
                      <w:rStyle w:val="font11"/>
                      <w:rFonts w:eastAsia="楷体"/>
                      <w:color w:val="auto"/>
                      <w:sz w:val="21"/>
                      <w:szCs w:val="21"/>
                      <w:lang w:bidi="ar"/>
                    </w:rPr>
                    <w:t>/</w:t>
                  </w:r>
                  <w:r>
                    <w:rPr>
                      <w:rStyle w:val="font41"/>
                      <w:rFonts w:ascii="Times New Roman" w:eastAsia="楷体" w:hAnsi="Times New Roman" w:cs="Times New Roman" w:hint="default"/>
                      <w:color w:val="auto"/>
                      <w:sz w:val="21"/>
                      <w:szCs w:val="21"/>
                      <w:lang w:bidi="ar"/>
                    </w:rPr>
                    <w:t>年</w:t>
                  </w:r>
                </w:p>
              </w:tc>
            </w:tr>
            <w:tr w:rsidR="00C72DBD">
              <w:trPr>
                <w:trHeight w:val="194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97</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厂区所有料场全封闭棚化改造</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实现烧结、球团、高炉和焦化煤场等物料储存全封闭，所有料棚配置超细雾炮和干雾等抑尘设施，料棚进出口设置全自动车辆洗车机，彻底解决原燃料及固体二次资源装卸、堆存等无组织排放问题</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减排：大幅降低无组织外排</w:t>
                  </w:r>
                </w:p>
              </w:tc>
            </w:tr>
            <w:tr w:rsidR="00C72DBD">
              <w:trPr>
                <w:trHeight w:val="62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98</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厂区绿植提升项目</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Fonts w:eastAsia="楷体"/>
                      <w:kern w:val="0"/>
                      <w:szCs w:val="21"/>
                      <w:lang w:bidi="ar"/>
                    </w:rPr>
                    <w:t>见缝插针，厂区绿植覆盖不断增大</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Fonts w:eastAsia="楷体"/>
                      <w:kern w:val="0"/>
                      <w:szCs w:val="21"/>
                      <w:lang w:bidi="ar"/>
                    </w:rPr>
                    <w:t>厂区绿植覆盖率达到</w:t>
                  </w:r>
                  <w:r>
                    <w:rPr>
                      <w:rStyle w:val="font11"/>
                      <w:rFonts w:eastAsia="楷体"/>
                      <w:color w:val="auto"/>
                      <w:sz w:val="21"/>
                      <w:szCs w:val="21"/>
                      <w:lang w:bidi="ar"/>
                    </w:rPr>
                    <w:t>30%</w:t>
                  </w:r>
                  <w:r>
                    <w:rPr>
                      <w:rStyle w:val="font31"/>
                      <w:rFonts w:ascii="Times New Roman" w:eastAsia="楷体" w:hAnsi="Times New Roman" w:cs="Times New Roman" w:hint="default"/>
                      <w:color w:val="auto"/>
                      <w:sz w:val="21"/>
                      <w:szCs w:val="21"/>
                      <w:lang w:bidi="ar"/>
                    </w:rPr>
                    <w:t>以上</w:t>
                  </w:r>
                </w:p>
              </w:tc>
            </w:tr>
            <w:tr w:rsidR="00C72DBD">
              <w:trPr>
                <w:trHeight w:val="104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99</w:t>
                  </w:r>
                </w:p>
              </w:tc>
              <w:tc>
                <w:tcPr>
                  <w:tcW w:w="600" w:type="dxa"/>
                  <w:vMerge/>
                  <w:tcBorders>
                    <w:left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kern w:val="0"/>
                      <w:szCs w:val="21"/>
                      <w:lang w:bidi="ar"/>
                    </w:rPr>
                    <w:t>厂区综合水处理项目</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Fonts w:eastAsia="楷体"/>
                      <w:kern w:val="0"/>
                      <w:szCs w:val="21"/>
                      <w:lang w:bidi="ar"/>
                    </w:rPr>
                    <w:t>生产废水采用多级处理超滤反渗透设施，生活废水经好氧、厌氧等</w:t>
                  </w:r>
                  <w:r>
                    <w:rPr>
                      <w:rFonts w:eastAsia="楷体" w:hint="eastAsia"/>
                      <w:kern w:val="0"/>
                      <w:szCs w:val="21"/>
                      <w:lang w:bidi="ar"/>
                    </w:rPr>
                    <w:t>多级</w:t>
                  </w:r>
                  <w:r>
                    <w:rPr>
                      <w:rFonts w:eastAsia="楷体"/>
                      <w:kern w:val="0"/>
                      <w:szCs w:val="21"/>
                      <w:lang w:bidi="ar"/>
                    </w:rPr>
                    <w:t>处理。</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Fonts w:eastAsia="楷体"/>
                      <w:kern w:val="0"/>
                      <w:szCs w:val="21"/>
                      <w:lang w:bidi="ar"/>
                    </w:rPr>
                    <w:t>厂区生产废水和生活污水全部处置</w:t>
                  </w:r>
                  <w:r>
                    <w:rPr>
                      <w:rFonts w:eastAsia="楷体" w:hint="eastAsia"/>
                      <w:kern w:val="0"/>
                      <w:szCs w:val="21"/>
                      <w:lang w:bidi="ar"/>
                    </w:rPr>
                    <w:t>。</w:t>
                  </w:r>
                </w:p>
              </w:tc>
            </w:tr>
            <w:tr w:rsidR="00C72DBD">
              <w:trPr>
                <w:trHeight w:val="1120"/>
                <w:tblHeader/>
              </w:trPr>
              <w:tc>
                <w:tcPr>
                  <w:tcW w:w="5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Fonts w:eastAsia="楷体"/>
                      <w:w w:val="90"/>
                      <w:kern w:val="0"/>
                      <w:szCs w:val="21"/>
                      <w:lang w:bidi="ar"/>
                    </w:rPr>
                    <w:t>100</w:t>
                  </w:r>
                </w:p>
              </w:tc>
              <w:tc>
                <w:tcPr>
                  <w:tcW w:w="600" w:type="dxa"/>
                  <w:vMerge/>
                  <w:tcBorders>
                    <w:left w:val="single" w:sz="4" w:space="0" w:color="000000"/>
                    <w:bottom w:val="single" w:sz="4" w:space="0" w:color="000000"/>
                    <w:right w:val="single" w:sz="4" w:space="0" w:color="000000"/>
                  </w:tcBorders>
                  <w:shd w:val="clear" w:color="auto" w:fill="auto"/>
                  <w:vAlign w:val="center"/>
                </w:tcPr>
                <w:p w:rsidR="00C72DBD" w:rsidRDefault="00C72DBD">
                  <w:pPr>
                    <w:jc w:val="center"/>
                    <w:rPr>
                      <w:rFonts w:eastAsia="楷体"/>
                      <w:szCs w:val="21"/>
                    </w:rPr>
                  </w:pPr>
                </w:p>
              </w:tc>
              <w:tc>
                <w:tcPr>
                  <w:tcW w:w="166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center"/>
                    <w:textAlignment w:val="center"/>
                    <w:rPr>
                      <w:rFonts w:eastAsia="楷体"/>
                      <w:szCs w:val="21"/>
                    </w:rPr>
                  </w:pPr>
                  <w:r>
                    <w:rPr>
                      <w:rStyle w:val="font41"/>
                      <w:rFonts w:ascii="Times New Roman" w:eastAsia="楷体" w:hAnsi="Times New Roman" w:cs="Times New Roman" w:hint="default"/>
                      <w:color w:val="auto"/>
                      <w:sz w:val="21"/>
                      <w:szCs w:val="21"/>
                      <w:lang w:bidi="ar"/>
                    </w:rPr>
                    <w:t>厂区除尘灰环保输送系统</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全厂所有除尘器放灰全部采用吸排罐车和气力输送方式，杜绝放灰过程无组织外排。</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72DBD" w:rsidRDefault="00FC0A09">
                  <w:pPr>
                    <w:widowControl/>
                    <w:jc w:val="left"/>
                    <w:textAlignment w:val="center"/>
                    <w:rPr>
                      <w:rFonts w:eastAsia="楷体"/>
                      <w:szCs w:val="21"/>
                    </w:rPr>
                  </w:pPr>
                  <w:r>
                    <w:rPr>
                      <w:rStyle w:val="font41"/>
                      <w:rFonts w:ascii="Times New Roman" w:eastAsia="楷体" w:hAnsi="Times New Roman" w:cs="Times New Roman" w:hint="default"/>
                      <w:color w:val="auto"/>
                      <w:sz w:val="21"/>
                      <w:szCs w:val="21"/>
                      <w:lang w:bidi="ar"/>
                    </w:rPr>
                    <w:t>减排：大幅降低无组织外排</w:t>
                  </w:r>
                </w:p>
              </w:tc>
            </w:tr>
          </w:tbl>
          <w:p w:rsidR="00C72DBD" w:rsidRDefault="00FC0A09">
            <w:pPr>
              <w:spacing w:line="360" w:lineRule="auto"/>
              <w:rPr>
                <w:rFonts w:ascii="仿宋_GB2312" w:eastAsia="仿宋_GB2312" w:hAnsi="宋体" w:cs="黑体"/>
                <w:sz w:val="24"/>
              </w:rPr>
            </w:pPr>
            <w:r>
              <w:rPr>
                <w:rFonts w:ascii="仿宋_GB2312" w:eastAsia="仿宋_GB2312" w:hAnsi="宋体" w:cs="黑体" w:hint="eastAsia"/>
                <w:sz w:val="24"/>
              </w:rPr>
              <w:t>4、企业开展清洁生产工作在节能、降耗、减污、增效、改进管理方面的成果</w:t>
            </w:r>
          </w:p>
          <w:p w:rsidR="00C72DBD" w:rsidRDefault="00FC0A09">
            <w:pPr>
              <w:spacing w:line="360" w:lineRule="auto"/>
              <w:ind w:firstLineChars="200" w:firstLine="480"/>
              <w:rPr>
                <w:rFonts w:eastAsia="仿宋_GB2312"/>
                <w:sz w:val="24"/>
              </w:rPr>
            </w:pPr>
            <w:r>
              <w:rPr>
                <w:rFonts w:eastAsia="仿宋_GB2312"/>
                <w:sz w:val="24"/>
              </w:rPr>
              <w:t>通过实施清洁生产技改提升项目，新兴铸管节能</w:t>
            </w:r>
            <w:r>
              <w:rPr>
                <w:rFonts w:eastAsia="仿宋_GB2312" w:hint="eastAsia"/>
                <w:sz w:val="24"/>
              </w:rPr>
              <w:t>减排工作</w:t>
            </w:r>
            <w:r>
              <w:rPr>
                <w:rFonts w:eastAsia="仿宋_GB2312"/>
                <w:sz w:val="24"/>
              </w:rPr>
              <w:t>取得巨大进步，经测算，技改前后累计节能量达</w:t>
            </w:r>
            <w:r>
              <w:rPr>
                <w:rFonts w:eastAsia="仿宋_GB2312"/>
                <w:sz w:val="24"/>
              </w:rPr>
              <w:t>85961.87</w:t>
            </w:r>
            <w:r>
              <w:rPr>
                <w:rFonts w:eastAsia="仿宋_GB2312" w:hint="eastAsia"/>
                <w:sz w:val="24"/>
              </w:rPr>
              <w:t>tce</w:t>
            </w:r>
            <w:r>
              <w:rPr>
                <w:rFonts w:eastAsia="仿宋_GB2312"/>
                <w:sz w:val="24"/>
              </w:rPr>
              <w:t>/</w:t>
            </w:r>
            <w:r>
              <w:rPr>
                <w:rFonts w:eastAsia="仿宋_GB2312"/>
                <w:sz w:val="24"/>
              </w:rPr>
              <w:t>年，同时，污染物排放指标明显下降，其中颗粒物、</w:t>
            </w:r>
            <w:r>
              <w:rPr>
                <w:rFonts w:eastAsia="仿宋_GB2312"/>
                <w:sz w:val="24"/>
              </w:rPr>
              <w:t>SO</w:t>
            </w:r>
            <w:r>
              <w:rPr>
                <w:rFonts w:eastAsia="仿宋_GB2312"/>
                <w:sz w:val="24"/>
                <w:vertAlign w:val="subscript"/>
              </w:rPr>
              <w:t>2</w:t>
            </w:r>
            <w:r>
              <w:rPr>
                <w:rFonts w:eastAsia="仿宋_GB2312"/>
                <w:sz w:val="24"/>
              </w:rPr>
              <w:t>、</w:t>
            </w:r>
            <w:r>
              <w:rPr>
                <w:rFonts w:eastAsia="仿宋_GB2312"/>
                <w:sz w:val="24"/>
              </w:rPr>
              <w:t>NOx</w:t>
            </w:r>
            <w:r>
              <w:rPr>
                <w:rFonts w:eastAsia="仿宋_GB2312"/>
                <w:sz w:val="24"/>
              </w:rPr>
              <w:t>排放量较改造前分别降低</w:t>
            </w:r>
            <w:r>
              <w:rPr>
                <w:rFonts w:eastAsia="仿宋_GB2312"/>
                <w:sz w:val="24"/>
              </w:rPr>
              <w:t>14%</w:t>
            </w:r>
            <w:r>
              <w:rPr>
                <w:rFonts w:eastAsia="仿宋_GB2312"/>
                <w:sz w:val="24"/>
              </w:rPr>
              <w:t>、</w:t>
            </w:r>
            <w:r>
              <w:rPr>
                <w:rFonts w:eastAsia="仿宋_GB2312"/>
                <w:sz w:val="24"/>
              </w:rPr>
              <w:t>52%</w:t>
            </w:r>
            <w:r>
              <w:rPr>
                <w:rFonts w:eastAsia="仿宋_GB2312"/>
                <w:sz w:val="24"/>
              </w:rPr>
              <w:t>、</w:t>
            </w:r>
            <w:r>
              <w:rPr>
                <w:rFonts w:eastAsia="仿宋_GB2312"/>
                <w:sz w:val="24"/>
              </w:rPr>
              <w:t>71%</w:t>
            </w:r>
            <w:r>
              <w:rPr>
                <w:rFonts w:eastAsia="仿宋_GB2312"/>
                <w:sz w:val="24"/>
              </w:rPr>
              <w:t>，</w:t>
            </w:r>
            <w:r>
              <w:rPr>
                <w:rFonts w:eastAsia="仿宋_GB2312" w:hint="eastAsia"/>
                <w:sz w:val="24"/>
              </w:rPr>
              <w:t>完成</w:t>
            </w:r>
            <w:r>
              <w:rPr>
                <w:rFonts w:eastAsia="仿宋_GB2312"/>
                <w:sz w:val="24"/>
              </w:rPr>
              <w:t>节能降耗</w:t>
            </w:r>
            <w:r>
              <w:rPr>
                <w:rFonts w:eastAsia="仿宋_GB2312" w:hint="eastAsia"/>
                <w:sz w:val="24"/>
              </w:rPr>
              <w:t>、</w:t>
            </w:r>
            <w:r>
              <w:rPr>
                <w:rFonts w:eastAsia="仿宋_GB2312"/>
                <w:sz w:val="24"/>
              </w:rPr>
              <w:t>减污降碳目标，</w:t>
            </w:r>
            <w:r>
              <w:rPr>
                <w:rFonts w:eastAsia="仿宋_GB2312" w:hint="eastAsia"/>
                <w:sz w:val="24"/>
              </w:rPr>
              <w:t>此外，也</w:t>
            </w:r>
            <w:r>
              <w:rPr>
                <w:rFonts w:eastAsia="仿宋_GB2312"/>
                <w:sz w:val="24"/>
              </w:rPr>
              <w:t>取得了惊人的经济效益，技改前后累计产生经济效益达</w:t>
            </w:r>
            <w:r>
              <w:rPr>
                <w:rFonts w:eastAsia="仿宋_GB2312"/>
                <w:sz w:val="24"/>
              </w:rPr>
              <w:t>3.67</w:t>
            </w:r>
            <w:r>
              <w:rPr>
                <w:rFonts w:eastAsia="仿宋_GB2312"/>
                <w:sz w:val="24"/>
              </w:rPr>
              <w:t>亿</w:t>
            </w:r>
            <w:r>
              <w:rPr>
                <w:rFonts w:eastAsia="仿宋_GB2312"/>
                <w:sz w:val="24"/>
              </w:rPr>
              <w:t>/</w:t>
            </w:r>
            <w:r>
              <w:rPr>
                <w:rFonts w:eastAsia="仿宋_GB2312"/>
                <w:sz w:val="24"/>
              </w:rPr>
              <w:t>年。</w:t>
            </w:r>
          </w:p>
          <w:p w:rsidR="00C72DBD" w:rsidRDefault="00FC0A09">
            <w:pPr>
              <w:spacing w:line="360" w:lineRule="auto"/>
              <w:ind w:firstLineChars="200" w:firstLine="480"/>
              <w:rPr>
                <w:rFonts w:ascii="仿宋_GB2312" w:eastAsia="仿宋_GB2312" w:hAnsi="宋体" w:cs="黑体"/>
                <w:sz w:val="24"/>
              </w:rPr>
            </w:pPr>
            <w:r>
              <w:rPr>
                <w:rFonts w:ascii="仿宋_GB2312" w:eastAsia="仿宋_GB2312" w:hAnsi="宋体" w:cs="黑体" w:hint="eastAsia"/>
                <w:sz w:val="24"/>
              </w:rPr>
              <w:t>新兴铸管清洁生产工作</w:t>
            </w:r>
            <w:r>
              <w:rPr>
                <w:rFonts w:ascii="仿宋_GB2312" w:eastAsia="仿宋_GB2312" w:hAnsi="宋体" w:cs="黑体"/>
                <w:sz w:val="24"/>
              </w:rPr>
              <w:t>成果显著，</w:t>
            </w:r>
            <w:r>
              <w:rPr>
                <w:rFonts w:ascii="仿宋_GB2312" w:eastAsia="仿宋_GB2312" w:hAnsi="宋体" w:cs="黑体" w:hint="eastAsia"/>
                <w:sz w:val="24"/>
              </w:rPr>
              <w:t>先后获得“环境管理先进单位”“大气污染治理先进单位”“低碳先锋”“河北省首批碳管理体系建设示范单位”“双碳最佳实践能效标杆示范厂”“能源环保示范单位”“钢铁绿色发展优秀企业”和“河北省无废工厂”等政</w:t>
            </w:r>
            <w:r>
              <w:rPr>
                <w:rFonts w:eastAsia="仿宋_GB2312"/>
                <w:sz w:val="24"/>
              </w:rPr>
              <w:t>府和行业奖项，仅</w:t>
            </w:r>
            <w:r>
              <w:rPr>
                <w:rFonts w:eastAsia="仿宋_GB2312"/>
                <w:sz w:val="24"/>
              </w:rPr>
              <w:t>2023</w:t>
            </w:r>
            <w:r>
              <w:rPr>
                <w:rFonts w:eastAsia="仿宋_GB2312"/>
                <w:sz w:val="24"/>
              </w:rPr>
              <w:t>年以来累计获得各项节能减排类荣誉</w:t>
            </w:r>
            <w:r>
              <w:rPr>
                <w:rFonts w:eastAsia="仿宋_GB2312"/>
                <w:sz w:val="24"/>
              </w:rPr>
              <w:t>20</w:t>
            </w:r>
            <w:r>
              <w:rPr>
                <w:rFonts w:eastAsia="仿宋_GB2312"/>
                <w:sz w:val="24"/>
              </w:rPr>
              <w:t>余项，得到政府</w:t>
            </w:r>
            <w:r>
              <w:rPr>
                <w:rFonts w:eastAsia="仿宋_GB2312" w:hint="eastAsia"/>
                <w:sz w:val="24"/>
              </w:rPr>
              <w:t>部门</w:t>
            </w:r>
            <w:r>
              <w:rPr>
                <w:rFonts w:eastAsia="仿宋_GB2312"/>
                <w:sz w:val="24"/>
              </w:rPr>
              <w:t>的认可和同行的尊重，树立起良好的环保企业形象，引领环保示范标杆。</w:t>
            </w:r>
          </w:p>
          <w:p w:rsidR="00C72DBD" w:rsidRDefault="00C72DBD">
            <w:pPr>
              <w:spacing w:line="360" w:lineRule="auto"/>
              <w:rPr>
                <w:rFonts w:ascii="仿宋_GB2312" w:eastAsia="仿宋_GB2312" w:hAnsi="宋体" w:cs="黑体"/>
                <w:sz w:val="24"/>
              </w:rPr>
            </w:pPr>
          </w:p>
          <w:p w:rsidR="00C72DBD" w:rsidRDefault="00FC0A09">
            <w:pPr>
              <w:spacing w:line="360" w:lineRule="auto"/>
              <w:rPr>
                <w:rFonts w:ascii="仿宋_GB2312" w:eastAsia="仿宋_GB2312" w:hAnsi="宋体" w:cs="黑体"/>
                <w:sz w:val="24"/>
              </w:rPr>
            </w:pPr>
            <w:r>
              <w:rPr>
                <w:rFonts w:ascii="仿宋_GB2312" w:eastAsia="仿宋_GB2312" w:hAnsi="宋体" w:cs="黑体" w:hint="eastAsia"/>
                <w:sz w:val="24"/>
              </w:rPr>
              <w:t>三、环境友好企业创建方面</w:t>
            </w:r>
          </w:p>
          <w:p w:rsidR="00C72DBD" w:rsidRDefault="00FC0A09">
            <w:pPr>
              <w:spacing w:line="360" w:lineRule="auto"/>
              <w:rPr>
                <w:rFonts w:ascii="仿宋_GB2312" w:eastAsia="仿宋_GB2312" w:hAnsi="宋体" w:cs="黑体"/>
                <w:sz w:val="24"/>
              </w:rPr>
            </w:pPr>
            <w:r>
              <w:rPr>
                <w:rFonts w:ascii="仿宋_GB2312" w:eastAsia="仿宋_GB2312" w:hAnsi="宋体" w:cs="黑体"/>
                <w:sz w:val="24"/>
              </w:rPr>
              <w:t>1</w:t>
            </w:r>
            <w:r>
              <w:rPr>
                <w:rFonts w:ascii="仿宋_GB2312" w:eastAsia="仿宋_GB2312" w:hAnsi="宋体" w:cs="黑体" w:hint="eastAsia"/>
                <w:sz w:val="24"/>
              </w:rPr>
              <w:t>、与国家相关法律、法规、政策的符合性</w:t>
            </w:r>
          </w:p>
          <w:p w:rsidR="00C72DBD" w:rsidRDefault="00FC0A09">
            <w:pPr>
              <w:spacing w:line="360" w:lineRule="auto"/>
              <w:ind w:firstLineChars="200" w:firstLine="480"/>
              <w:rPr>
                <w:rFonts w:ascii="仿宋_GB2312" w:eastAsia="仿宋_GB2312" w:hAnsi="宋体" w:cs="黑体"/>
                <w:sz w:val="24"/>
              </w:rPr>
            </w:pPr>
            <w:r>
              <w:rPr>
                <w:rFonts w:ascii="仿宋_GB2312" w:eastAsia="仿宋_GB2312" w:hAnsi="宋体" w:cs="黑体" w:hint="eastAsia"/>
                <w:sz w:val="24"/>
              </w:rPr>
              <w:t>新兴铸管符合《中华人民共和国环境保护法》、《中华人民共和国大气污染防治法》、《中华人民共和国水污染防治法》、《中华人民共和国固体废物污染环境防治法》、《中华人民共和国环境噪声污染防治法》和《排污许可管理条例》等相关法律法规要求。</w:t>
            </w:r>
          </w:p>
          <w:p w:rsidR="00C72DBD" w:rsidRDefault="00FC0A09">
            <w:pPr>
              <w:spacing w:line="360" w:lineRule="auto"/>
              <w:ind w:firstLineChars="200" w:firstLine="480"/>
              <w:rPr>
                <w:rFonts w:ascii="仿宋_GB2312" w:eastAsia="仿宋_GB2312" w:hAnsi="宋体" w:cs="黑体"/>
                <w:sz w:val="24"/>
              </w:rPr>
            </w:pPr>
            <w:r>
              <w:rPr>
                <w:rFonts w:ascii="仿宋_GB2312" w:eastAsia="仿宋_GB2312" w:hAnsi="宋体" w:cs="黑体" w:hint="eastAsia"/>
                <w:sz w:val="24"/>
              </w:rPr>
              <w:t>在环境治理上，对照生态环境部等五部委印发的《关于推进实施钢铁行业超低排放的意见》，完成全流程超低排放改造，并完成超低排放成果公示。</w:t>
            </w:r>
          </w:p>
          <w:p w:rsidR="00C72DBD" w:rsidRDefault="00FC0A09">
            <w:pPr>
              <w:spacing w:line="360" w:lineRule="auto"/>
              <w:rPr>
                <w:rFonts w:ascii="仿宋_GB2312" w:eastAsia="仿宋_GB2312" w:hAnsi="宋体" w:cs="黑体"/>
                <w:sz w:val="24"/>
              </w:rPr>
            </w:pPr>
            <w:r>
              <w:rPr>
                <w:rFonts w:ascii="仿宋_GB2312" w:eastAsia="仿宋_GB2312" w:hAnsi="宋体" w:cs="黑体"/>
                <w:sz w:val="24"/>
              </w:rPr>
              <w:t>2</w:t>
            </w:r>
            <w:r>
              <w:rPr>
                <w:rFonts w:ascii="仿宋_GB2312" w:eastAsia="仿宋_GB2312" w:hAnsi="宋体" w:cs="黑体" w:hint="eastAsia"/>
                <w:sz w:val="24"/>
              </w:rPr>
              <w:t>、与地方环境保护相关法律、法规、政策和规划要求的符合性</w:t>
            </w:r>
          </w:p>
          <w:p w:rsidR="00C72DBD" w:rsidRDefault="00FC0A09">
            <w:pPr>
              <w:spacing w:line="360" w:lineRule="auto"/>
              <w:ind w:firstLineChars="200" w:firstLine="480"/>
              <w:rPr>
                <w:rFonts w:ascii="仿宋_GB2312" w:eastAsia="仿宋_GB2312" w:hAnsi="宋体" w:cs="黑体"/>
                <w:sz w:val="24"/>
              </w:rPr>
            </w:pPr>
            <w:r>
              <w:rPr>
                <w:rFonts w:ascii="仿宋_GB2312" w:eastAsia="仿宋_GB2312" w:hAnsi="宋体" w:cs="黑体" w:hint="eastAsia"/>
                <w:sz w:val="24"/>
              </w:rPr>
              <w:t>新兴铸管符合《河北省环境保护条例》、《河北省大气污染防治条例》、《河北省水污染防治条例》、《河北省扬尘污染防治办法》和《河北省生态环境保护条例》等相关法律、法规、政策和规划要求，并严格执行邯郸市和武安市相关环保最新要求。</w:t>
            </w:r>
          </w:p>
          <w:p w:rsidR="00C72DBD" w:rsidRDefault="00FC0A09">
            <w:pPr>
              <w:spacing w:line="360" w:lineRule="auto"/>
              <w:rPr>
                <w:rFonts w:ascii="仿宋_GB2312" w:eastAsia="仿宋_GB2312" w:hAnsi="宋体" w:cs="黑体"/>
                <w:sz w:val="24"/>
              </w:rPr>
            </w:pPr>
            <w:r>
              <w:rPr>
                <w:rFonts w:ascii="仿宋_GB2312" w:eastAsia="仿宋_GB2312" w:hAnsi="宋体" w:cs="黑体"/>
                <w:sz w:val="24"/>
              </w:rPr>
              <w:t>3</w:t>
            </w:r>
            <w:r>
              <w:rPr>
                <w:rFonts w:ascii="仿宋_GB2312" w:eastAsia="仿宋_GB2312" w:hAnsi="宋体" w:cs="黑体" w:hint="eastAsia"/>
                <w:sz w:val="24"/>
              </w:rPr>
              <w:t>、与环境影响评价和三同时制度要求的符合性</w:t>
            </w:r>
          </w:p>
          <w:p w:rsidR="00C72DBD" w:rsidRDefault="00FC0A09">
            <w:pPr>
              <w:spacing w:line="360" w:lineRule="auto"/>
              <w:ind w:firstLineChars="200" w:firstLine="480"/>
              <w:rPr>
                <w:rFonts w:ascii="仿宋_GB2312" w:eastAsia="仿宋_GB2312" w:hAnsi="宋体" w:cs="黑体"/>
                <w:sz w:val="24"/>
              </w:rPr>
            </w:pPr>
            <w:r>
              <w:rPr>
                <w:rFonts w:eastAsia="仿宋_GB2312"/>
                <w:sz w:val="24"/>
              </w:rPr>
              <w:t>按照《中华人民共和国环境影响评价法》，对新建、改建、扩建项目进行环境影响评价，</w:t>
            </w:r>
            <w:r>
              <w:rPr>
                <w:rFonts w:eastAsia="仿宋_GB2312"/>
                <w:bCs/>
                <w:sz w:val="24"/>
              </w:rPr>
              <w:t>认</w:t>
            </w:r>
            <w:r>
              <w:rPr>
                <w:rFonts w:ascii="仿宋" w:eastAsia="仿宋" w:hAnsi="仿宋" w:cs="仿宋" w:hint="eastAsia"/>
                <w:bCs/>
                <w:sz w:val="24"/>
              </w:rPr>
              <w:t>真执行“环境影响评价”和“三同时”制度，及时办</w:t>
            </w:r>
            <w:r>
              <w:rPr>
                <w:rFonts w:eastAsia="仿宋_GB2312"/>
                <w:bCs/>
                <w:sz w:val="24"/>
              </w:rPr>
              <w:t>理相关环保手续。</w:t>
            </w:r>
          </w:p>
          <w:p w:rsidR="00C72DBD" w:rsidRDefault="00FC0A09">
            <w:pPr>
              <w:spacing w:line="360" w:lineRule="auto"/>
              <w:rPr>
                <w:rFonts w:ascii="仿宋_GB2312" w:eastAsia="仿宋_GB2312" w:hAnsi="宋体" w:cs="黑体"/>
                <w:sz w:val="24"/>
              </w:rPr>
            </w:pPr>
            <w:r>
              <w:rPr>
                <w:rFonts w:ascii="仿宋_GB2312" w:eastAsia="仿宋_GB2312" w:hAnsi="宋体" w:cs="黑体"/>
                <w:sz w:val="24"/>
              </w:rPr>
              <w:t>4</w:t>
            </w:r>
            <w:r>
              <w:rPr>
                <w:rFonts w:ascii="仿宋_GB2312" w:eastAsia="仿宋_GB2312" w:hAnsi="宋体" w:cs="黑体" w:hint="eastAsia"/>
                <w:sz w:val="24"/>
              </w:rPr>
              <w:t>、与污染源达标排放、总量控制规定要求的符合性</w:t>
            </w:r>
          </w:p>
          <w:p w:rsidR="00C72DBD" w:rsidRDefault="00FC0A09">
            <w:pPr>
              <w:spacing w:line="360" w:lineRule="auto"/>
              <w:ind w:firstLineChars="200" w:firstLine="480"/>
              <w:rPr>
                <w:rFonts w:eastAsia="仿宋_GB2312"/>
                <w:sz w:val="24"/>
              </w:rPr>
            </w:pPr>
            <w:r>
              <w:rPr>
                <w:rFonts w:eastAsia="仿宋_GB2312"/>
                <w:sz w:val="24"/>
              </w:rPr>
              <w:t>依法取得排污许可证，证书编号</w:t>
            </w:r>
            <w:r>
              <w:rPr>
                <w:rFonts w:eastAsia="仿宋_GB2312"/>
                <w:sz w:val="24"/>
              </w:rPr>
              <w:t>91130400104365768G001P</w:t>
            </w:r>
            <w:r>
              <w:rPr>
                <w:rFonts w:eastAsia="仿宋_GB2312"/>
                <w:sz w:val="24"/>
              </w:rPr>
              <w:t>，有效期为</w:t>
            </w:r>
            <w:r>
              <w:rPr>
                <w:rFonts w:eastAsia="仿宋_GB2312"/>
                <w:sz w:val="24"/>
              </w:rPr>
              <w:t>2023</w:t>
            </w:r>
            <w:r>
              <w:rPr>
                <w:rFonts w:eastAsia="仿宋_GB2312"/>
                <w:sz w:val="24"/>
              </w:rPr>
              <w:t>年</w:t>
            </w:r>
            <w:r>
              <w:rPr>
                <w:rFonts w:eastAsia="仿宋_GB2312"/>
                <w:sz w:val="24"/>
              </w:rPr>
              <w:t>12</w:t>
            </w:r>
            <w:r>
              <w:rPr>
                <w:rFonts w:eastAsia="仿宋_GB2312"/>
                <w:sz w:val="24"/>
              </w:rPr>
              <w:t>月</w:t>
            </w:r>
            <w:r>
              <w:rPr>
                <w:rFonts w:eastAsia="仿宋_GB2312"/>
                <w:sz w:val="24"/>
              </w:rPr>
              <w:t>27</w:t>
            </w:r>
            <w:r>
              <w:rPr>
                <w:rFonts w:eastAsia="仿宋_GB2312"/>
                <w:sz w:val="24"/>
              </w:rPr>
              <w:t>日至</w:t>
            </w:r>
            <w:r>
              <w:rPr>
                <w:rFonts w:eastAsia="仿宋_GB2312"/>
                <w:sz w:val="24"/>
              </w:rPr>
              <w:t>2028</w:t>
            </w:r>
            <w:r>
              <w:rPr>
                <w:rFonts w:eastAsia="仿宋_GB2312"/>
                <w:sz w:val="24"/>
              </w:rPr>
              <w:t>年</w:t>
            </w:r>
            <w:r>
              <w:rPr>
                <w:rFonts w:eastAsia="仿宋_GB2312"/>
                <w:sz w:val="24"/>
              </w:rPr>
              <w:t>12</w:t>
            </w:r>
            <w:r>
              <w:rPr>
                <w:rFonts w:eastAsia="仿宋_GB2312"/>
                <w:sz w:val="24"/>
              </w:rPr>
              <w:t>月</w:t>
            </w:r>
            <w:r>
              <w:rPr>
                <w:rFonts w:eastAsia="仿宋_GB2312"/>
                <w:sz w:val="24"/>
              </w:rPr>
              <w:t>26</w:t>
            </w:r>
            <w:r>
              <w:rPr>
                <w:rFonts w:eastAsia="仿宋_GB2312"/>
                <w:sz w:val="24"/>
              </w:rPr>
              <w:t>日。</w:t>
            </w:r>
            <w:r>
              <w:rPr>
                <w:rFonts w:eastAsia="仿宋_GB2312"/>
                <w:sz w:val="24"/>
              </w:rPr>
              <w:t>2023</w:t>
            </w:r>
            <w:r>
              <w:rPr>
                <w:rFonts w:eastAsia="仿宋_GB2312"/>
                <w:sz w:val="24"/>
              </w:rPr>
              <w:t>年全年排放量未超排污许可总量，满足排污许可证的排放要求。</w:t>
            </w:r>
          </w:p>
          <w:p w:rsidR="00C72DBD" w:rsidRDefault="00FC0A09">
            <w:pPr>
              <w:spacing w:line="360" w:lineRule="auto"/>
              <w:ind w:firstLineChars="200" w:firstLine="480"/>
              <w:rPr>
                <w:rFonts w:eastAsia="仿宋_GB2312"/>
                <w:sz w:val="24"/>
              </w:rPr>
            </w:pPr>
            <w:r>
              <w:rPr>
                <w:rFonts w:eastAsia="仿宋_GB2312"/>
                <w:sz w:val="24"/>
              </w:rPr>
              <w:t>现阶段，各工序污染物排放稳定满足超低排放要求，大气污染物排放满足《钢铁工业大气污染物超低排放标准》（</w:t>
            </w:r>
            <w:r>
              <w:rPr>
                <w:rFonts w:eastAsia="仿宋_GB2312"/>
                <w:sz w:val="24"/>
              </w:rPr>
              <w:t>DB13/2169-2018</w:t>
            </w:r>
            <w:r>
              <w:rPr>
                <w:rFonts w:eastAsia="仿宋_GB2312"/>
                <w:sz w:val="24"/>
              </w:rPr>
              <w:t>）和《炼焦化学工业大气污染物超低排放标准》（</w:t>
            </w:r>
            <w:r>
              <w:rPr>
                <w:rFonts w:eastAsia="仿宋_GB2312"/>
                <w:sz w:val="24"/>
              </w:rPr>
              <w:t>DB13/2863-2018</w:t>
            </w:r>
            <w:r>
              <w:rPr>
                <w:rFonts w:eastAsia="仿宋_GB2312"/>
                <w:sz w:val="24"/>
              </w:rPr>
              <w:t>）排放限值；厂区废水实现零排放；固危废合规回用或交由有资质第三方处置；厂界噪声满足《工业企业厂界噪声标准》第三类排放限值，并按频次规范开展自行监测，按月度、季度、年度填报提交排污许可执行报告。</w:t>
            </w:r>
          </w:p>
          <w:p w:rsidR="00C72DBD" w:rsidRDefault="00C72DBD">
            <w:pPr>
              <w:spacing w:line="360" w:lineRule="auto"/>
              <w:rPr>
                <w:rFonts w:ascii="仿宋_GB2312" w:eastAsia="仿宋_GB2312" w:hAnsi="宋体" w:cs="黑体"/>
                <w:sz w:val="24"/>
              </w:rPr>
            </w:pPr>
          </w:p>
          <w:p w:rsidR="00C72DBD" w:rsidRDefault="00FC0A09">
            <w:pPr>
              <w:spacing w:line="360" w:lineRule="auto"/>
              <w:rPr>
                <w:rFonts w:ascii="仿宋_GB2312" w:eastAsia="仿宋_GB2312" w:hAnsi="宋体" w:cs="黑体"/>
                <w:sz w:val="24"/>
              </w:rPr>
            </w:pPr>
            <w:r>
              <w:rPr>
                <w:rFonts w:ascii="仿宋_GB2312" w:eastAsia="仿宋_GB2312" w:hAnsi="宋体" w:cs="黑体" w:hint="eastAsia"/>
                <w:sz w:val="24"/>
              </w:rPr>
              <w:t>四、在清洁生产环境友好企业实践中具有创新性和示范性的工作</w:t>
            </w:r>
          </w:p>
          <w:p w:rsidR="00C72DBD" w:rsidRDefault="00FC0A09">
            <w:pPr>
              <w:spacing w:line="360" w:lineRule="auto"/>
              <w:rPr>
                <w:rFonts w:ascii="仿宋_GB2312" w:eastAsia="仿宋_GB2312" w:hAnsi="宋体" w:cs="黑体"/>
                <w:sz w:val="24"/>
              </w:rPr>
            </w:pPr>
            <w:r>
              <w:rPr>
                <w:rFonts w:ascii="仿宋_GB2312" w:eastAsia="仿宋_GB2312" w:hAnsi="宋体" w:cs="黑体"/>
                <w:sz w:val="24"/>
              </w:rPr>
              <w:t>1</w:t>
            </w:r>
            <w:r>
              <w:rPr>
                <w:rFonts w:ascii="仿宋_GB2312" w:eastAsia="仿宋_GB2312" w:hAnsi="宋体" w:cs="黑体" w:hint="eastAsia"/>
                <w:sz w:val="24"/>
              </w:rPr>
              <w:t>、企业在组织机构、管理制度建设方面的特点</w:t>
            </w:r>
          </w:p>
          <w:p w:rsidR="00C72DBD" w:rsidRDefault="00FC0A09">
            <w:pPr>
              <w:spacing w:line="360" w:lineRule="auto"/>
              <w:ind w:firstLineChars="200" w:firstLine="480"/>
              <w:rPr>
                <w:rFonts w:ascii="仿宋_GB2312" w:eastAsia="仿宋_GB2312" w:hAnsi="宋体" w:cs="黑体"/>
                <w:sz w:val="24"/>
              </w:rPr>
            </w:pPr>
            <w:r>
              <w:rPr>
                <w:rFonts w:ascii="仿宋_GB2312" w:eastAsia="仿宋_GB2312" w:hAnsi="宋体" w:cs="黑体" w:hint="eastAsia"/>
                <w:sz w:val="24"/>
              </w:rPr>
              <w:t>新兴铸管企业文化的核心理念是“在学习中成长，在创新中发展”，采取“公司-实业部-作业区-班组”四级管理组织架构，岗位均有内容全面的《岗位作业指导书》和《岗位工艺操作标准》。近年来，新兴铸管不断完善信息化智造水平，各工序实现</w:t>
            </w:r>
            <w:r>
              <w:rPr>
                <w:rFonts w:eastAsia="仿宋_GB2312"/>
                <w:sz w:val="24"/>
              </w:rPr>
              <w:t>MES</w:t>
            </w:r>
            <w:r>
              <w:rPr>
                <w:rFonts w:eastAsia="仿宋_GB2312"/>
                <w:sz w:val="24"/>
              </w:rPr>
              <w:t>系</w:t>
            </w:r>
            <w:r>
              <w:rPr>
                <w:rFonts w:ascii="仿宋_GB2312" w:eastAsia="仿宋_GB2312" w:hAnsi="宋体" w:cs="黑体" w:hint="eastAsia"/>
                <w:sz w:val="24"/>
              </w:rPr>
              <w:t>统全覆盖，并自主研发建设环保管控平台，提高精细化管理水平。</w:t>
            </w:r>
          </w:p>
          <w:p w:rsidR="00C72DBD" w:rsidRDefault="00FC0A09">
            <w:pPr>
              <w:spacing w:line="360" w:lineRule="auto"/>
              <w:ind w:firstLineChars="200" w:firstLine="480"/>
              <w:rPr>
                <w:rFonts w:ascii="仿宋_GB2312" w:eastAsia="仿宋_GB2312" w:hAnsi="宋体" w:cs="黑体"/>
                <w:sz w:val="24"/>
              </w:rPr>
            </w:pPr>
            <w:r>
              <w:rPr>
                <w:rFonts w:ascii="仿宋_GB2312" w:eastAsia="仿宋_GB2312" w:hAnsi="宋体" w:cs="黑体" w:hint="eastAsia"/>
                <w:sz w:val="24"/>
              </w:rPr>
              <w:t>此外，新兴铸管具备完善的现代化企业管理制度，在环保、质量、安全、能源、测量等方面均具备完善的管理体系，每年进行集中的专业管理制度更新评审，确保生产过程严格遵守国家相关法律法规，执行各项规章制度。</w:t>
            </w:r>
          </w:p>
          <w:p w:rsidR="00C72DBD" w:rsidRDefault="00FC0A09">
            <w:pPr>
              <w:spacing w:line="360" w:lineRule="auto"/>
              <w:rPr>
                <w:rFonts w:ascii="仿宋_GB2312" w:eastAsia="仿宋_GB2312" w:hAnsi="宋体" w:cs="黑体"/>
                <w:sz w:val="24"/>
              </w:rPr>
            </w:pPr>
            <w:r>
              <w:rPr>
                <w:rFonts w:ascii="仿宋_GB2312" w:eastAsia="仿宋_GB2312" w:hAnsi="宋体" w:cs="黑体"/>
                <w:sz w:val="24"/>
              </w:rPr>
              <w:t>2</w:t>
            </w:r>
            <w:r>
              <w:rPr>
                <w:rFonts w:ascii="仿宋_GB2312" w:eastAsia="仿宋_GB2312" w:hAnsi="宋体" w:cs="黑体" w:hint="eastAsia"/>
                <w:sz w:val="24"/>
              </w:rPr>
              <w:t>、企业清洁生产规划和年度工作计划制定目标清晰与执行到位</w:t>
            </w:r>
          </w:p>
          <w:p w:rsidR="00C72DBD" w:rsidRDefault="00FC0A09">
            <w:pPr>
              <w:spacing w:line="360" w:lineRule="auto"/>
              <w:ind w:firstLineChars="200" w:firstLine="480"/>
              <w:rPr>
                <w:rFonts w:ascii="仿宋_GB2312" w:eastAsia="仿宋_GB2312" w:hAnsi="宋体" w:cs="黑体"/>
                <w:sz w:val="24"/>
              </w:rPr>
            </w:pPr>
            <w:r>
              <w:rPr>
                <w:rFonts w:ascii="仿宋_GB2312" w:eastAsia="仿宋_GB2312" w:hAnsi="宋体" w:cs="黑体" w:hint="eastAsia"/>
                <w:sz w:val="24"/>
              </w:rPr>
              <w:t>新兴铸管清洁生产规划和年度工作生产经营计划相对应，每年制订明确、清晰的年度工作计划，包括生产、节能、环保、降耗等具体目标指标。按年度工作计划进行日常跟踪管理，定期召开生产技术、能源环保等方面分析会，总结各类目标指标的完成情况及后续工作推进计划，确保年度工作目标执行到位。</w:t>
            </w:r>
          </w:p>
          <w:p w:rsidR="00C72DBD" w:rsidRDefault="00FC0A09">
            <w:pPr>
              <w:spacing w:line="360" w:lineRule="auto"/>
              <w:rPr>
                <w:rFonts w:ascii="仿宋_GB2312" w:eastAsia="仿宋_GB2312" w:hAnsi="宋体" w:cs="黑体"/>
                <w:sz w:val="24"/>
              </w:rPr>
            </w:pPr>
            <w:r>
              <w:rPr>
                <w:rFonts w:ascii="仿宋_GB2312" w:eastAsia="仿宋_GB2312" w:hAnsi="宋体" w:cs="黑体"/>
                <w:sz w:val="24"/>
              </w:rPr>
              <w:t>3</w:t>
            </w:r>
            <w:r>
              <w:rPr>
                <w:rFonts w:ascii="仿宋_GB2312" w:eastAsia="仿宋_GB2312" w:hAnsi="宋体" w:cs="黑体" w:hint="eastAsia"/>
                <w:sz w:val="24"/>
              </w:rPr>
              <w:t>、根据企业装备技术和资源产品特点，结合企业所在地的社会人文环境，在企业内部技术和管理方面有特点特色的创新活动</w:t>
            </w:r>
          </w:p>
          <w:p w:rsidR="00C72DBD" w:rsidRDefault="00FC0A09">
            <w:pPr>
              <w:spacing w:line="360" w:lineRule="auto"/>
              <w:ind w:firstLineChars="200" w:firstLine="480"/>
              <w:rPr>
                <w:rFonts w:ascii="仿宋_GB2312" w:eastAsia="仿宋_GB2312" w:hAnsi="宋体" w:cs="黑体"/>
                <w:sz w:val="24"/>
              </w:rPr>
            </w:pPr>
            <w:r>
              <w:rPr>
                <w:rFonts w:ascii="仿宋_GB2312" w:eastAsia="仿宋_GB2312" w:hAnsi="宋体" w:cs="黑体" w:hint="eastAsia"/>
                <w:sz w:val="24"/>
              </w:rPr>
              <w:t>新兴铸管地处河北省武安市，其主导产品球墨铸铁管在多领域具有全球或行业领先地位，离心球墨铸铁管生产规模居世界首位，铸造产品产销量位居国内首位。铸管生产技术、产品质量居世界领先水平，是全球最大的离心球墨铸铁管供应商。</w:t>
            </w:r>
          </w:p>
          <w:p w:rsidR="00C72DBD" w:rsidRDefault="00FC0A09">
            <w:pPr>
              <w:spacing w:line="360" w:lineRule="auto"/>
              <w:ind w:firstLineChars="200" w:firstLine="480"/>
              <w:rPr>
                <w:rFonts w:ascii="仿宋_GB2312" w:eastAsia="仿宋_GB2312" w:hAnsi="宋体" w:cs="黑体"/>
                <w:sz w:val="24"/>
              </w:rPr>
            </w:pPr>
            <w:r>
              <w:rPr>
                <w:rFonts w:ascii="仿宋_GB2312" w:eastAsia="仿宋_GB2312" w:hAnsi="宋体" w:cs="黑体" w:hint="eastAsia"/>
                <w:sz w:val="24"/>
              </w:rPr>
              <w:t>在内部技术和管理上，以“在学习中成长，在创新中发展”为基石，以“特别能吃苦、特别能奉献”的军钢精神为宗旨，开展多种形式的“揭榜挂帅”项目，不断开拓进取，创新改造，多次获得国家级和河北省科技进步奖，参与国家和国际铸管行业标准的制定。</w:t>
            </w:r>
            <w:r>
              <w:rPr>
                <w:rFonts w:eastAsia="仿宋_GB2312"/>
                <w:sz w:val="24"/>
              </w:rPr>
              <w:t>主持参与</w:t>
            </w:r>
            <w:r>
              <w:rPr>
                <w:rFonts w:eastAsia="仿宋_GB2312"/>
                <w:sz w:val="24"/>
              </w:rPr>
              <w:t>29</w:t>
            </w:r>
            <w:r>
              <w:rPr>
                <w:rFonts w:eastAsia="仿宋_GB2312"/>
                <w:sz w:val="24"/>
              </w:rPr>
              <w:t>项标准制修订，其中，国家标准</w:t>
            </w:r>
            <w:r>
              <w:rPr>
                <w:rFonts w:eastAsia="仿宋_GB2312"/>
                <w:sz w:val="24"/>
              </w:rPr>
              <w:t>13</w:t>
            </w:r>
            <w:r>
              <w:rPr>
                <w:rFonts w:eastAsia="仿宋_GB2312"/>
                <w:sz w:val="24"/>
              </w:rPr>
              <w:t>项，行业标准</w:t>
            </w:r>
            <w:r>
              <w:rPr>
                <w:rFonts w:eastAsia="仿宋_GB2312"/>
                <w:sz w:val="24"/>
              </w:rPr>
              <w:t>6</w:t>
            </w:r>
            <w:r>
              <w:rPr>
                <w:rFonts w:eastAsia="仿宋_GB2312"/>
                <w:sz w:val="24"/>
              </w:rPr>
              <w:t>项，并作为唯一中国企业代表参与</w:t>
            </w:r>
            <w:r>
              <w:rPr>
                <w:rFonts w:eastAsia="仿宋_GB2312"/>
                <w:sz w:val="24"/>
              </w:rPr>
              <w:t>9</w:t>
            </w:r>
            <w:r>
              <w:rPr>
                <w:rFonts w:eastAsia="仿宋_GB2312"/>
                <w:sz w:val="24"/>
              </w:rPr>
              <w:t>项国际铸管标准制修订工作。</w:t>
            </w:r>
          </w:p>
          <w:p w:rsidR="00C72DBD" w:rsidRDefault="00FC0A09">
            <w:pPr>
              <w:spacing w:line="360" w:lineRule="auto"/>
              <w:rPr>
                <w:rFonts w:ascii="仿宋_GB2312" w:eastAsia="仿宋_GB2312" w:cs="黑体"/>
                <w:sz w:val="24"/>
              </w:rPr>
            </w:pPr>
            <w:r>
              <w:rPr>
                <w:rFonts w:ascii="仿宋_GB2312" w:eastAsia="仿宋_GB2312" w:hAnsi="宋体" w:cs="黑体"/>
                <w:sz w:val="24"/>
              </w:rPr>
              <w:t>4</w:t>
            </w:r>
            <w:r>
              <w:rPr>
                <w:rFonts w:ascii="仿宋_GB2312" w:eastAsia="仿宋_GB2312" w:hAnsi="宋体" w:cs="黑体" w:hint="eastAsia"/>
                <w:sz w:val="24"/>
              </w:rPr>
              <w:t>、企业开展和参与社会环境友好活动的创新和贡献。</w:t>
            </w:r>
          </w:p>
          <w:p w:rsidR="00C72DBD" w:rsidRDefault="00FC0A09">
            <w:pPr>
              <w:spacing w:line="360" w:lineRule="auto"/>
              <w:ind w:firstLineChars="200" w:firstLine="480"/>
              <w:rPr>
                <w:rFonts w:ascii="仿宋_GB2312" w:eastAsia="仿宋_GB2312" w:hAnsi="宋体" w:cs="黑体"/>
                <w:sz w:val="24"/>
              </w:rPr>
            </w:pPr>
            <w:r>
              <w:rPr>
                <w:rFonts w:ascii="仿宋_GB2312" w:eastAsia="仿宋_GB2312" w:hAnsi="宋体" w:cs="黑体" w:hint="eastAsia"/>
                <w:sz w:val="24"/>
              </w:rPr>
              <w:t>新兴铸管积极推行环境保护治理工作，参与社会环境友好活动，每年以“六五环境日”和“节能宣传周”为契机，面向社会开展节能环保宣传活动，全年在厂区周边道路开展清洁湿扫、植树造林和绿化美化等工作，树立起了良好的环境友好企业模范。</w:t>
            </w:r>
          </w:p>
          <w:p w:rsidR="00C72DBD" w:rsidRDefault="00C72DBD">
            <w:pPr>
              <w:spacing w:line="360" w:lineRule="auto"/>
              <w:ind w:firstLineChars="200" w:firstLine="480"/>
              <w:rPr>
                <w:rFonts w:ascii="仿宋_GB2312" w:eastAsia="仿宋_GB2312" w:hAnsi="宋体" w:cs="黑体"/>
                <w:sz w:val="24"/>
              </w:rPr>
            </w:pPr>
          </w:p>
          <w:p w:rsidR="00C72DBD" w:rsidRDefault="00FC0A09">
            <w:pPr>
              <w:spacing w:line="360" w:lineRule="auto"/>
              <w:rPr>
                <w:rFonts w:ascii="仿宋_GB2312" w:eastAsia="仿宋_GB2312" w:hAnsi="宋体" w:cs="黑体"/>
                <w:sz w:val="24"/>
              </w:rPr>
            </w:pPr>
            <w:r>
              <w:rPr>
                <w:rFonts w:ascii="仿宋_GB2312" w:eastAsia="仿宋_GB2312" w:hAnsi="宋体" w:cs="黑体" w:hint="eastAsia"/>
                <w:sz w:val="24"/>
              </w:rPr>
              <w:t>五、企业清洁生产环境友好方面有待改进和加强的内容</w:t>
            </w:r>
          </w:p>
          <w:p w:rsidR="00C72DBD" w:rsidRDefault="00FC0A09">
            <w:pPr>
              <w:spacing w:line="360" w:lineRule="auto"/>
              <w:ind w:firstLineChars="200" w:firstLine="480"/>
              <w:rPr>
                <w:rFonts w:ascii="仿宋_GB2312" w:eastAsia="仿宋_GB2312" w:hAnsi="宋体" w:cs="黑体"/>
                <w:sz w:val="24"/>
              </w:rPr>
            </w:pPr>
            <w:r>
              <w:rPr>
                <w:rFonts w:ascii="仿宋_GB2312" w:eastAsia="仿宋_GB2312" w:hAnsi="宋体" w:cs="黑体"/>
                <w:sz w:val="24"/>
              </w:rPr>
              <w:t>企业清洁生产环境友好方面有以下三方面需要改进。</w:t>
            </w:r>
          </w:p>
          <w:p w:rsidR="00C72DBD" w:rsidRDefault="00FC0A09">
            <w:pPr>
              <w:spacing w:line="360" w:lineRule="auto"/>
              <w:ind w:firstLineChars="200" w:firstLine="480"/>
              <w:rPr>
                <w:rFonts w:eastAsia="仿宋_GB2312"/>
                <w:sz w:val="24"/>
              </w:rPr>
            </w:pPr>
            <w:r>
              <w:rPr>
                <w:rFonts w:eastAsia="仿宋_GB2312"/>
                <w:sz w:val="24"/>
              </w:rPr>
              <w:t>1.</w:t>
            </w:r>
            <w:r>
              <w:rPr>
                <w:rFonts w:eastAsia="仿宋_GB2312"/>
                <w:sz w:val="24"/>
              </w:rPr>
              <w:t>思想障碍：基层职工思想观念认识不足，存在清洁生产环境友好</w:t>
            </w:r>
            <w:r>
              <w:rPr>
                <w:rFonts w:eastAsia="仿宋_GB2312" w:hint="eastAsia"/>
                <w:sz w:val="24"/>
              </w:rPr>
              <w:t>企业创建</w:t>
            </w:r>
            <w:r>
              <w:rPr>
                <w:rFonts w:eastAsia="仿宋_GB2312"/>
                <w:sz w:val="24"/>
              </w:rPr>
              <w:t>就是提高打扫卫生强度，加大清扫卫生频次的</w:t>
            </w:r>
            <w:r>
              <w:rPr>
                <w:rFonts w:eastAsia="仿宋_GB2312" w:hint="eastAsia"/>
                <w:sz w:val="24"/>
              </w:rPr>
              <w:t>传统</w:t>
            </w:r>
            <w:r>
              <w:rPr>
                <w:rFonts w:eastAsia="仿宋_GB2312"/>
                <w:sz w:val="24"/>
              </w:rPr>
              <w:t>思想观念，员工心理上对清洁生产和环境友好创建存在抵触心理，后续持续提高员工对清洁生产观念的培训教育。</w:t>
            </w:r>
          </w:p>
          <w:p w:rsidR="00C72DBD" w:rsidRDefault="00FC0A09">
            <w:pPr>
              <w:spacing w:line="360" w:lineRule="auto"/>
              <w:ind w:firstLineChars="200" w:firstLine="480"/>
              <w:rPr>
                <w:rFonts w:eastAsia="仿宋_GB2312"/>
                <w:sz w:val="24"/>
              </w:rPr>
            </w:pPr>
            <w:r>
              <w:rPr>
                <w:rFonts w:eastAsia="仿宋_GB2312"/>
                <w:sz w:val="24"/>
              </w:rPr>
              <w:t>2.</w:t>
            </w:r>
            <w:r>
              <w:rPr>
                <w:rFonts w:eastAsia="仿宋_GB2312"/>
                <w:sz w:val="24"/>
              </w:rPr>
              <w:t>技术障碍：认为实施清洁生产会影响生产，生产过程的物耗和废物产生与排放不可避免，担心无实现污染预防的可行性技术，后续加强</w:t>
            </w:r>
            <w:r>
              <w:rPr>
                <w:rFonts w:eastAsia="仿宋_GB2312" w:hint="eastAsia"/>
                <w:sz w:val="24"/>
              </w:rPr>
              <w:t>员工</w:t>
            </w:r>
            <w:r>
              <w:rPr>
                <w:rFonts w:eastAsia="仿宋_GB2312"/>
                <w:sz w:val="24"/>
              </w:rPr>
              <w:t>学习清洁生产和环境保护方面的知识，学习借鉴国内</w:t>
            </w:r>
            <w:r>
              <w:rPr>
                <w:rFonts w:eastAsia="仿宋_GB2312" w:hint="eastAsia"/>
                <w:sz w:val="24"/>
              </w:rPr>
              <w:t>外</w:t>
            </w:r>
            <w:r>
              <w:rPr>
                <w:rFonts w:eastAsia="仿宋_GB2312"/>
                <w:sz w:val="24"/>
              </w:rPr>
              <w:t>同行业先进技术及污染防治措施。</w:t>
            </w:r>
          </w:p>
          <w:p w:rsidR="00C72DBD" w:rsidRDefault="00FC0A09">
            <w:pPr>
              <w:spacing w:line="360" w:lineRule="auto"/>
              <w:ind w:firstLineChars="200" w:firstLine="480"/>
              <w:rPr>
                <w:rFonts w:eastAsia="仿宋_GB2312"/>
                <w:sz w:val="24"/>
              </w:rPr>
            </w:pPr>
            <w:r>
              <w:rPr>
                <w:rFonts w:eastAsia="仿宋_GB2312"/>
                <w:sz w:val="24"/>
              </w:rPr>
              <w:t>3.</w:t>
            </w:r>
            <w:r>
              <w:rPr>
                <w:rFonts w:eastAsia="仿宋_GB2312"/>
                <w:sz w:val="24"/>
              </w:rPr>
              <w:t>管理障碍：各部门事务繁多，负担重，后续加强督促各部门增加清洁生产和</w:t>
            </w:r>
            <w:r>
              <w:rPr>
                <w:rFonts w:eastAsia="仿宋_GB2312" w:hint="eastAsia"/>
                <w:sz w:val="24"/>
              </w:rPr>
              <w:t>能源、</w:t>
            </w:r>
            <w:r>
              <w:rPr>
                <w:rFonts w:eastAsia="仿宋_GB2312"/>
                <w:sz w:val="24"/>
              </w:rPr>
              <w:t>环保管理专职</w:t>
            </w:r>
            <w:r>
              <w:rPr>
                <w:rFonts w:eastAsia="仿宋_GB2312" w:hint="eastAsia"/>
                <w:sz w:val="24"/>
              </w:rPr>
              <w:t>人员</w:t>
            </w:r>
            <w:r>
              <w:rPr>
                <w:rFonts w:eastAsia="仿宋_GB2312"/>
                <w:sz w:val="24"/>
              </w:rPr>
              <w:t>完善。</w:t>
            </w:r>
          </w:p>
          <w:p w:rsidR="00C72DBD" w:rsidRDefault="00C72DBD">
            <w:pPr>
              <w:spacing w:line="360" w:lineRule="auto"/>
              <w:rPr>
                <w:rFonts w:ascii="仿宋_GB2312" w:eastAsia="仿宋_GB2312" w:hAnsi="宋体" w:cs="黑体"/>
                <w:sz w:val="24"/>
              </w:rPr>
            </w:pPr>
          </w:p>
          <w:p w:rsidR="00C72DBD" w:rsidRDefault="00C72DBD">
            <w:pPr>
              <w:jc w:val="left"/>
              <w:rPr>
                <w:rFonts w:ascii="宋体"/>
              </w:rPr>
            </w:pPr>
          </w:p>
          <w:p w:rsidR="00C72DBD" w:rsidRDefault="00C72DBD">
            <w:pPr>
              <w:jc w:val="left"/>
              <w:rPr>
                <w:rFonts w:ascii="宋体"/>
              </w:rPr>
            </w:pPr>
          </w:p>
          <w:p w:rsidR="00C72DBD" w:rsidRDefault="00C72DBD">
            <w:pPr>
              <w:jc w:val="left"/>
              <w:rPr>
                <w:rFonts w:ascii="宋体"/>
              </w:rPr>
            </w:pPr>
          </w:p>
          <w:p w:rsidR="00C72DBD" w:rsidRDefault="00C72DBD">
            <w:pPr>
              <w:jc w:val="left"/>
              <w:rPr>
                <w:rFonts w:ascii="宋体"/>
              </w:rPr>
            </w:pPr>
          </w:p>
        </w:tc>
      </w:tr>
    </w:tbl>
    <w:p w:rsidR="00C72DBD" w:rsidRDefault="00FC0A09" w:rsidP="00A76DEC">
      <w:pPr>
        <w:spacing w:afterLines="50" w:after="156"/>
        <w:jc w:val="center"/>
        <w:rPr>
          <w:rFonts w:eastAsia="黑体" w:cs="黑体"/>
          <w:sz w:val="36"/>
          <w:szCs w:val="36"/>
        </w:rPr>
      </w:pPr>
      <w:r>
        <w:rPr>
          <w:rFonts w:eastAsia="黑体"/>
          <w:sz w:val="32"/>
          <w:szCs w:val="32"/>
        </w:rPr>
        <w:br w:type="page"/>
      </w:r>
      <w:r>
        <w:rPr>
          <w:rFonts w:eastAsia="黑体" w:cs="黑体" w:hint="eastAsia"/>
          <w:sz w:val="36"/>
          <w:szCs w:val="36"/>
        </w:rPr>
        <w:t>二、参与评比先决条件</w:t>
      </w:r>
    </w:p>
    <w:p w:rsidR="00C72DBD" w:rsidRDefault="00FC0A09" w:rsidP="00A76DEC">
      <w:pPr>
        <w:spacing w:afterLines="50" w:after="156"/>
        <w:jc w:val="center"/>
        <w:rPr>
          <w:rFonts w:asciiTheme="minorEastAsia" w:eastAsiaTheme="minorEastAsia" w:hAnsiTheme="minorEastAsia" w:cs="黑体"/>
          <w:sz w:val="36"/>
          <w:szCs w:val="36"/>
        </w:rPr>
      </w:pPr>
      <w:r>
        <w:rPr>
          <w:rFonts w:asciiTheme="minorEastAsia" w:eastAsiaTheme="minorEastAsia" w:hAnsiTheme="minorEastAsia" w:cs="黑体" w:hint="eastAsia"/>
          <w:sz w:val="24"/>
        </w:rPr>
        <w:t>(复审企业重点填写表彰至复审期间的变化内容)</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707"/>
        <w:gridCol w:w="5650"/>
        <w:gridCol w:w="2148"/>
      </w:tblGrid>
      <w:tr w:rsidR="00C72DBD">
        <w:tc>
          <w:tcPr>
            <w:tcW w:w="817" w:type="dxa"/>
          </w:tcPr>
          <w:p w:rsidR="00C72DBD" w:rsidRDefault="00FC0A09">
            <w:pPr>
              <w:spacing w:line="360" w:lineRule="auto"/>
              <w:jc w:val="center"/>
              <w:rPr>
                <w:rFonts w:ascii="宋体" w:hAnsi="宋体"/>
                <w:sz w:val="24"/>
              </w:rPr>
            </w:pPr>
            <w:r>
              <w:rPr>
                <w:rFonts w:ascii="宋体" w:hAnsi="宋体" w:hint="eastAsia"/>
                <w:sz w:val="24"/>
              </w:rPr>
              <w:t>类别</w:t>
            </w:r>
          </w:p>
        </w:tc>
        <w:tc>
          <w:tcPr>
            <w:tcW w:w="707" w:type="dxa"/>
          </w:tcPr>
          <w:p w:rsidR="00C72DBD" w:rsidRDefault="00FC0A09">
            <w:pPr>
              <w:spacing w:line="360" w:lineRule="auto"/>
              <w:jc w:val="center"/>
              <w:rPr>
                <w:rFonts w:ascii="宋体" w:hAnsi="宋体"/>
                <w:sz w:val="24"/>
              </w:rPr>
            </w:pPr>
            <w:r>
              <w:rPr>
                <w:rFonts w:ascii="宋体" w:hAnsi="宋体" w:hint="eastAsia"/>
                <w:sz w:val="24"/>
              </w:rPr>
              <w:t>序号</w:t>
            </w:r>
          </w:p>
        </w:tc>
        <w:tc>
          <w:tcPr>
            <w:tcW w:w="5650" w:type="dxa"/>
          </w:tcPr>
          <w:p w:rsidR="00C72DBD" w:rsidRDefault="00FC0A09">
            <w:pPr>
              <w:spacing w:line="360" w:lineRule="auto"/>
              <w:jc w:val="center"/>
              <w:rPr>
                <w:rFonts w:ascii="宋体" w:hAnsi="宋体"/>
                <w:sz w:val="24"/>
              </w:rPr>
            </w:pPr>
            <w:r>
              <w:rPr>
                <w:rFonts w:ascii="宋体" w:hAnsi="宋体" w:hint="eastAsia"/>
                <w:sz w:val="24"/>
              </w:rPr>
              <w:t>事项</w:t>
            </w:r>
          </w:p>
        </w:tc>
        <w:tc>
          <w:tcPr>
            <w:tcW w:w="2148" w:type="dxa"/>
          </w:tcPr>
          <w:p w:rsidR="00C72DBD" w:rsidRDefault="00FC0A09">
            <w:pPr>
              <w:spacing w:line="360" w:lineRule="auto"/>
              <w:jc w:val="center"/>
              <w:rPr>
                <w:rFonts w:ascii="宋体" w:hAnsi="宋体"/>
                <w:sz w:val="24"/>
              </w:rPr>
            </w:pPr>
            <w:r>
              <w:rPr>
                <w:rFonts w:ascii="宋体" w:hAnsi="宋体" w:hint="eastAsia"/>
                <w:sz w:val="24"/>
              </w:rPr>
              <w:t>承诺及说明</w:t>
            </w:r>
          </w:p>
        </w:tc>
      </w:tr>
      <w:tr w:rsidR="00C72DBD">
        <w:tc>
          <w:tcPr>
            <w:tcW w:w="817" w:type="dxa"/>
            <w:vMerge w:val="restart"/>
            <w:vAlign w:val="center"/>
          </w:tcPr>
          <w:p w:rsidR="00C72DBD" w:rsidRDefault="00FC0A09">
            <w:pPr>
              <w:spacing w:line="360" w:lineRule="auto"/>
              <w:jc w:val="center"/>
              <w:rPr>
                <w:rFonts w:ascii="宋体" w:hAnsi="宋体"/>
                <w:sz w:val="24"/>
              </w:rPr>
            </w:pPr>
            <w:r>
              <w:rPr>
                <w:rFonts w:ascii="宋体" w:hAnsi="宋体" w:hint="eastAsia"/>
                <w:sz w:val="24"/>
              </w:rPr>
              <w:t>规范经营</w:t>
            </w:r>
          </w:p>
        </w:tc>
        <w:tc>
          <w:tcPr>
            <w:tcW w:w="707" w:type="dxa"/>
            <w:vAlign w:val="center"/>
          </w:tcPr>
          <w:p w:rsidR="00C72DBD" w:rsidRDefault="00C72DBD">
            <w:pPr>
              <w:numPr>
                <w:ilvl w:val="0"/>
                <w:numId w:val="1"/>
              </w:numPr>
              <w:spacing w:line="360" w:lineRule="auto"/>
              <w:ind w:left="0" w:firstLine="0"/>
              <w:jc w:val="center"/>
              <w:rPr>
                <w:rFonts w:ascii="宋体" w:hAnsi="宋体"/>
                <w:sz w:val="24"/>
              </w:rPr>
            </w:pPr>
          </w:p>
        </w:tc>
        <w:tc>
          <w:tcPr>
            <w:tcW w:w="5650" w:type="dxa"/>
            <w:vAlign w:val="center"/>
          </w:tcPr>
          <w:p w:rsidR="00C72DBD" w:rsidRDefault="00FC0A09">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已被国家工信部公告的生产经营规范的钢铁企业</w:t>
            </w:r>
          </w:p>
        </w:tc>
        <w:tc>
          <w:tcPr>
            <w:tcW w:w="2148" w:type="dxa"/>
            <w:vAlign w:val="center"/>
          </w:tcPr>
          <w:p w:rsidR="00C72DBD" w:rsidRDefault="00FC0A09">
            <w:pPr>
              <w:spacing w:line="360" w:lineRule="auto"/>
              <w:jc w:val="center"/>
              <w:rPr>
                <w:rFonts w:ascii="宋体" w:hAnsi="宋体"/>
                <w:szCs w:val="21"/>
              </w:rPr>
            </w:pPr>
            <w:r>
              <w:rPr>
                <w:rFonts w:ascii="宋体" w:hAnsi="宋体" w:hint="eastAsia"/>
                <w:szCs w:val="21"/>
              </w:rPr>
              <w:t>是工信部公告的生产经营钢铁规范企业</w:t>
            </w:r>
          </w:p>
        </w:tc>
      </w:tr>
      <w:tr w:rsidR="00C72DBD">
        <w:tc>
          <w:tcPr>
            <w:tcW w:w="817" w:type="dxa"/>
            <w:vMerge/>
            <w:vAlign w:val="center"/>
          </w:tcPr>
          <w:p w:rsidR="00C72DBD" w:rsidRDefault="00C72DBD">
            <w:pPr>
              <w:spacing w:line="360" w:lineRule="auto"/>
              <w:jc w:val="center"/>
              <w:rPr>
                <w:rFonts w:ascii="宋体" w:hAnsi="宋体"/>
                <w:sz w:val="24"/>
              </w:rPr>
            </w:pPr>
          </w:p>
        </w:tc>
        <w:tc>
          <w:tcPr>
            <w:tcW w:w="707" w:type="dxa"/>
            <w:vAlign w:val="center"/>
          </w:tcPr>
          <w:p w:rsidR="00C72DBD" w:rsidRDefault="00C72DBD">
            <w:pPr>
              <w:numPr>
                <w:ilvl w:val="0"/>
                <w:numId w:val="1"/>
              </w:numPr>
              <w:spacing w:line="360" w:lineRule="auto"/>
              <w:ind w:left="0" w:firstLine="0"/>
              <w:jc w:val="center"/>
              <w:rPr>
                <w:rFonts w:ascii="宋体" w:hAnsi="宋体"/>
                <w:sz w:val="24"/>
              </w:rPr>
            </w:pPr>
          </w:p>
        </w:tc>
        <w:tc>
          <w:tcPr>
            <w:tcW w:w="5650" w:type="dxa"/>
            <w:vAlign w:val="center"/>
          </w:tcPr>
          <w:p w:rsidR="00C72DBD" w:rsidRDefault="00FC0A09">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主体工艺装备未采用国家明令禁止和淘汰的生产工艺</w:t>
            </w:r>
          </w:p>
        </w:tc>
        <w:tc>
          <w:tcPr>
            <w:tcW w:w="2148" w:type="dxa"/>
            <w:vAlign w:val="center"/>
          </w:tcPr>
          <w:p w:rsidR="00C72DBD" w:rsidRDefault="00FC0A09">
            <w:pPr>
              <w:spacing w:line="360" w:lineRule="auto"/>
              <w:jc w:val="center"/>
              <w:rPr>
                <w:rFonts w:ascii="宋体" w:hAnsi="宋体"/>
                <w:szCs w:val="21"/>
              </w:rPr>
            </w:pPr>
            <w:r>
              <w:rPr>
                <w:rFonts w:asciiTheme="minorEastAsia" w:eastAsiaTheme="minorEastAsia" w:hAnsiTheme="minorEastAsia" w:hint="eastAsia"/>
                <w:szCs w:val="21"/>
              </w:rPr>
              <w:t>未采用国家明令禁止和淘汰的生产工艺</w:t>
            </w:r>
          </w:p>
        </w:tc>
      </w:tr>
      <w:tr w:rsidR="00C72DBD">
        <w:tc>
          <w:tcPr>
            <w:tcW w:w="817" w:type="dxa"/>
            <w:vMerge/>
            <w:vAlign w:val="center"/>
          </w:tcPr>
          <w:p w:rsidR="00C72DBD" w:rsidRDefault="00C72DBD">
            <w:pPr>
              <w:spacing w:line="360" w:lineRule="auto"/>
              <w:jc w:val="center"/>
              <w:rPr>
                <w:rFonts w:ascii="宋体" w:hAnsi="宋体"/>
                <w:sz w:val="24"/>
              </w:rPr>
            </w:pPr>
          </w:p>
        </w:tc>
        <w:tc>
          <w:tcPr>
            <w:tcW w:w="707" w:type="dxa"/>
            <w:vAlign w:val="center"/>
          </w:tcPr>
          <w:p w:rsidR="00C72DBD" w:rsidRDefault="00C72DBD">
            <w:pPr>
              <w:numPr>
                <w:ilvl w:val="0"/>
                <w:numId w:val="1"/>
              </w:numPr>
              <w:spacing w:line="360" w:lineRule="auto"/>
              <w:ind w:left="0" w:firstLine="0"/>
              <w:jc w:val="center"/>
              <w:rPr>
                <w:rFonts w:ascii="宋体" w:hAnsi="宋体"/>
                <w:sz w:val="24"/>
              </w:rPr>
            </w:pPr>
          </w:p>
        </w:tc>
        <w:tc>
          <w:tcPr>
            <w:tcW w:w="5650" w:type="dxa"/>
            <w:vAlign w:val="center"/>
          </w:tcPr>
          <w:p w:rsidR="00C72DBD" w:rsidRDefault="00FC0A09">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生产过程中未使用国家法律、法规、标准中禁用的物质和我国签署的国际公约中禁用的物质</w:t>
            </w:r>
          </w:p>
        </w:tc>
        <w:tc>
          <w:tcPr>
            <w:tcW w:w="2148" w:type="dxa"/>
            <w:vAlign w:val="center"/>
          </w:tcPr>
          <w:p w:rsidR="00C72DBD" w:rsidRDefault="00FC0A09">
            <w:pPr>
              <w:spacing w:line="360" w:lineRule="auto"/>
              <w:jc w:val="center"/>
              <w:rPr>
                <w:rFonts w:ascii="宋体" w:hAnsi="宋体"/>
                <w:szCs w:val="21"/>
              </w:rPr>
            </w:pPr>
            <w:r>
              <w:rPr>
                <w:rFonts w:asciiTheme="minorEastAsia" w:eastAsiaTheme="minorEastAsia" w:hAnsiTheme="minorEastAsia" w:hint="eastAsia"/>
                <w:szCs w:val="21"/>
              </w:rPr>
              <w:t>生产过程中未使用国家法律、法规、标准中禁用的物质和我国签署的国际公约中禁用的物质</w:t>
            </w:r>
          </w:p>
        </w:tc>
      </w:tr>
      <w:tr w:rsidR="00C72DBD">
        <w:tc>
          <w:tcPr>
            <w:tcW w:w="817" w:type="dxa"/>
            <w:vMerge/>
            <w:vAlign w:val="center"/>
          </w:tcPr>
          <w:p w:rsidR="00C72DBD" w:rsidRDefault="00C72DBD">
            <w:pPr>
              <w:spacing w:line="360" w:lineRule="auto"/>
              <w:jc w:val="center"/>
              <w:rPr>
                <w:rFonts w:ascii="宋体" w:hAnsi="宋体"/>
                <w:sz w:val="24"/>
              </w:rPr>
            </w:pPr>
          </w:p>
        </w:tc>
        <w:tc>
          <w:tcPr>
            <w:tcW w:w="707" w:type="dxa"/>
            <w:vAlign w:val="center"/>
          </w:tcPr>
          <w:p w:rsidR="00C72DBD" w:rsidRDefault="00C72DBD">
            <w:pPr>
              <w:numPr>
                <w:ilvl w:val="0"/>
                <w:numId w:val="1"/>
              </w:numPr>
              <w:spacing w:line="360" w:lineRule="auto"/>
              <w:ind w:left="0" w:firstLine="0"/>
              <w:jc w:val="center"/>
              <w:rPr>
                <w:rFonts w:ascii="宋体" w:hAnsi="宋体"/>
                <w:sz w:val="24"/>
              </w:rPr>
            </w:pPr>
          </w:p>
        </w:tc>
        <w:tc>
          <w:tcPr>
            <w:tcW w:w="5650" w:type="dxa"/>
            <w:vAlign w:val="center"/>
          </w:tcPr>
          <w:p w:rsidR="00C72DBD" w:rsidRDefault="00FC0A09">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未生产国家明令禁止的产品</w:t>
            </w:r>
          </w:p>
        </w:tc>
        <w:tc>
          <w:tcPr>
            <w:tcW w:w="2148" w:type="dxa"/>
            <w:vAlign w:val="center"/>
          </w:tcPr>
          <w:p w:rsidR="00C72DBD" w:rsidRDefault="00FC0A09">
            <w:pPr>
              <w:spacing w:line="360" w:lineRule="auto"/>
              <w:jc w:val="center"/>
              <w:rPr>
                <w:rFonts w:ascii="宋体" w:hAnsi="宋体"/>
                <w:szCs w:val="21"/>
              </w:rPr>
            </w:pPr>
            <w:r>
              <w:rPr>
                <w:rFonts w:asciiTheme="minorEastAsia" w:eastAsiaTheme="minorEastAsia" w:hAnsiTheme="minorEastAsia" w:hint="eastAsia"/>
                <w:szCs w:val="21"/>
              </w:rPr>
              <w:t>未生产国家明令禁止的产品</w:t>
            </w:r>
          </w:p>
        </w:tc>
      </w:tr>
      <w:tr w:rsidR="00C72DBD">
        <w:tc>
          <w:tcPr>
            <w:tcW w:w="817" w:type="dxa"/>
            <w:vMerge/>
            <w:vAlign w:val="center"/>
          </w:tcPr>
          <w:p w:rsidR="00C72DBD" w:rsidRDefault="00C72DBD">
            <w:pPr>
              <w:spacing w:line="360" w:lineRule="auto"/>
              <w:jc w:val="center"/>
              <w:rPr>
                <w:rFonts w:ascii="宋体" w:hAnsi="宋体"/>
                <w:sz w:val="24"/>
              </w:rPr>
            </w:pPr>
          </w:p>
        </w:tc>
        <w:tc>
          <w:tcPr>
            <w:tcW w:w="707" w:type="dxa"/>
            <w:vAlign w:val="center"/>
          </w:tcPr>
          <w:p w:rsidR="00C72DBD" w:rsidRDefault="00C72DBD">
            <w:pPr>
              <w:numPr>
                <w:ilvl w:val="0"/>
                <w:numId w:val="1"/>
              </w:numPr>
              <w:spacing w:line="360" w:lineRule="auto"/>
              <w:ind w:left="0" w:firstLine="0"/>
              <w:jc w:val="center"/>
              <w:rPr>
                <w:rFonts w:ascii="宋体" w:hAnsi="宋体"/>
                <w:sz w:val="24"/>
              </w:rPr>
            </w:pPr>
          </w:p>
        </w:tc>
        <w:tc>
          <w:tcPr>
            <w:tcW w:w="5650" w:type="dxa"/>
            <w:vAlign w:val="center"/>
          </w:tcPr>
          <w:p w:rsidR="00C72DBD" w:rsidRDefault="00FC0A09">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持证取水，按取水许可证批准的取水量取水</w:t>
            </w:r>
          </w:p>
        </w:tc>
        <w:tc>
          <w:tcPr>
            <w:tcW w:w="2148" w:type="dxa"/>
            <w:vAlign w:val="center"/>
          </w:tcPr>
          <w:p w:rsidR="00C72DBD" w:rsidRDefault="00FC0A09">
            <w:pPr>
              <w:spacing w:line="360" w:lineRule="auto"/>
              <w:jc w:val="center"/>
              <w:rPr>
                <w:rFonts w:ascii="宋体" w:hAnsi="宋体"/>
                <w:szCs w:val="21"/>
              </w:rPr>
            </w:pPr>
            <w:r>
              <w:rPr>
                <w:rFonts w:asciiTheme="minorEastAsia" w:eastAsiaTheme="minorEastAsia" w:hAnsiTheme="minorEastAsia" w:hint="eastAsia"/>
                <w:szCs w:val="21"/>
              </w:rPr>
              <w:t>依法取得取水许可证，持证取水，按取水许可证批准的取水量取水</w:t>
            </w:r>
          </w:p>
        </w:tc>
      </w:tr>
      <w:tr w:rsidR="00C72DBD">
        <w:tc>
          <w:tcPr>
            <w:tcW w:w="817" w:type="dxa"/>
            <w:vMerge/>
            <w:vAlign w:val="center"/>
          </w:tcPr>
          <w:p w:rsidR="00C72DBD" w:rsidRDefault="00C72DBD">
            <w:pPr>
              <w:spacing w:line="360" w:lineRule="auto"/>
              <w:jc w:val="center"/>
              <w:rPr>
                <w:rFonts w:ascii="宋体" w:hAnsi="宋体"/>
                <w:sz w:val="24"/>
              </w:rPr>
            </w:pPr>
          </w:p>
        </w:tc>
        <w:tc>
          <w:tcPr>
            <w:tcW w:w="707" w:type="dxa"/>
            <w:vAlign w:val="center"/>
          </w:tcPr>
          <w:p w:rsidR="00C72DBD" w:rsidRDefault="00C72DBD">
            <w:pPr>
              <w:numPr>
                <w:ilvl w:val="0"/>
                <w:numId w:val="1"/>
              </w:numPr>
              <w:spacing w:line="360" w:lineRule="auto"/>
              <w:ind w:left="0" w:firstLine="0"/>
              <w:jc w:val="center"/>
              <w:rPr>
                <w:rFonts w:ascii="宋体" w:hAnsi="宋体"/>
                <w:sz w:val="24"/>
              </w:rPr>
            </w:pPr>
          </w:p>
        </w:tc>
        <w:tc>
          <w:tcPr>
            <w:tcW w:w="5650" w:type="dxa"/>
            <w:vAlign w:val="center"/>
          </w:tcPr>
          <w:p w:rsidR="00C72DBD" w:rsidRDefault="00FC0A09">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rPr>
              <w:t>持证排污，达标排放，污染物排放满足排污许可证载明的污染物排放种类、浓度、总量、排放方式、排放时间、排放去向等要求，污染物排放浓度满足国家及地方政府环保部门正式颁布的相关污染物排放标准或最新政策要求</w:t>
            </w:r>
          </w:p>
        </w:tc>
        <w:tc>
          <w:tcPr>
            <w:tcW w:w="2148" w:type="dxa"/>
            <w:vAlign w:val="center"/>
          </w:tcPr>
          <w:p w:rsidR="00C72DBD" w:rsidRDefault="00FC0A09">
            <w:pPr>
              <w:spacing w:line="360" w:lineRule="auto"/>
              <w:jc w:val="center"/>
              <w:rPr>
                <w:rFonts w:ascii="宋体" w:eastAsiaTheme="minorEastAsia" w:hAnsi="宋体"/>
                <w:szCs w:val="21"/>
              </w:rPr>
            </w:pPr>
            <w:r>
              <w:rPr>
                <w:rFonts w:asciiTheme="minorEastAsia" w:eastAsiaTheme="minorEastAsia" w:hAnsiTheme="minorEastAsia" w:hint="eastAsia"/>
                <w:szCs w:val="21"/>
              </w:rPr>
              <w:t>依法取得的排污许可证，按照许可证要求持证排污，做好证后管理</w:t>
            </w:r>
          </w:p>
        </w:tc>
      </w:tr>
      <w:tr w:rsidR="00C72DBD">
        <w:tc>
          <w:tcPr>
            <w:tcW w:w="817" w:type="dxa"/>
            <w:vAlign w:val="center"/>
          </w:tcPr>
          <w:p w:rsidR="00C72DBD" w:rsidRDefault="00FC0A09">
            <w:pPr>
              <w:spacing w:line="360" w:lineRule="auto"/>
              <w:jc w:val="center"/>
              <w:rPr>
                <w:rFonts w:ascii="宋体" w:hAnsi="宋体"/>
                <w:sz w:val="24"/>
              </w:rPr>
            </w:pPr>
            <w:r>
              <w:rPr>
                <w:rFonts w:asciiTheme="minorEastAsia" w:eastAsiaTheme="minorEastAsia" w:hAnsiTheme="minorEastAsia" w:hint="eastAsia"/>
                <w:color w:val="000000"/>
                <w:sz w:val="24"/>
                <w:szCs w:val="32"/>
              </w:rPr>
              <w:t>可持续经营</w:t>
            </w:r>
          </w:p>
        </w:tc>
        <w:tc>
          <w:tcPr>
            <w:tcW w:w="707" w:type="dxa"/>
            <w:vAlign w:val="center"/>
          </w:tcPr>
          <w:p w:rsidR="00C72DBD" w:rsidRDefault="00C72DBD">
            <w:pPr>
              <w:numPr>
                <w:ilvl w:val="0"/>
                <w:numId w:val="1"/>
              </w:numPr>
              <w:spacing w:line="360" w:lineRule="auto"/>
              <w:ind w:left="0" w:firstLine="0"/>
              <w:jc w:val="center"/>
              <w:rPr>
                <w:rFonts w:ascii="宋体" w:hAnsi="宋体"/>
                <w:sz w:val="24"/>
              </w:rPr>
            </w:pPr>
          </w:p>
        </w:tc>
        <w:tc>
          <w:tcPr>
            <w:tcW w:w="5650" w:type="dxa"/>
            <w:vAlign w:val="center"/>
          </w:tcPr>
          <w:p w:rsidR="00C72DBD" w:rsidRDefault="00FC0A09">
            <w:pPr>
              <w:spacing w:line="360" w:lineRule="auto"/>
              <w:jc w:val="left"/>
              <w:rPr>
                <w:rFonts w:asciiTheme="minorEastAsia" w:eastAsiaTheme="minorEastAsia" w:hAnsiTheme="minorEastAsia"/>
                <w:sz w:val="24"/>
                <w:szCs w:val="32"/>
              </w:rPr>
            </w:pPr>
            <w:r>
              <w:rPr>
                <w:rFonts w:asciiTheme="minorEastAsia" w:eastAsiaTheme="minorEastAsia" w:hAnsiTheme="minorEastAsia" w:hint="eastAsia"/>
                <w:sz w:val="24"/>
                <w:szCs w:val="32"/>
              </w:rPr>
              <w:t>未来两年不会被国家或地方责令环保搬迁</w:t>
            </w:r>
          </w:p>
        </w:tc>
        <w:tc>
          <w:tcPr>
            <w:tcW w:w="2148" w:type="dxa"/>
            <w:vAlign w:val="center"/>
          </w:tcPr>
          <w:p w:rsidR="00C72DBD" w:rsidRDefault="00FC0A09">
            <w:pPr>
              <w:spacing w:line="360" w:lineRule="auto"/>
              <w:jc w:val="center"/>
              <w:rPr>
                <w:rFonts w:ascii="宋体" w:hAnsi="宋体"/>
                <w:szCs w:val="21"/>
              </w:rPr>
            </w:pPr>
            <w:r>
              <w:rPr>
                <w:rFonts w:asciiTheme="minorEastAsia" w:eastAsiaTheme="minorEastAsia" w:hAnsiTheme="minorEastAsia" w:hint="eastAsia"/>
                <w:szCs w:val="21"/>
              </w:rPr>
              <w:t>未来两年不会被国家或地方责令环保搬迁</w:t>
            </w:r>
          </w:p>
        </w:tc>
      </w:tr>
      <w:tr w:rsidR="00C72DBD">
        <w:tc>
          <w:tcPr>
            <w:tcW w:w="817" w:type="dxa"/>
            <w:vAlign w:val="center"/>
          </w:tcPr>
          <w:p w:rsidR="00C72DBD" w:rsidRDefault="00FC0A09">
            <w:pPr>
              <w:spacing w:line="360" w:lineRule="auto"/>
              <w:jc w:val="center"/>
              <w:rPr>
                <w:rFonts w:ascii="宋体" w:hAnsi="宋体"/>
                <w:sz w:val="24"/>
              </w:rPr>
            </w:pPr>
            <w:r>
              <w:rPr>
                <w:rFonts w:asciiTheme="minorEastAsia" w:eastAsiaTheme="minorEastAsia" w:hAnsiTheme="minorEastAsia" w:hint="eastAsia"/>
                <w:sz w:val="24"/>
                <w:szCs w:val="32"/>
              </w:rPr>
              <w:t>认真履责</w:t>
            </w:r>
          </w:p>
        </w:tc>
        <w:tc>
          <w:tcPr>
            <w:tcW w:w="707" w:type="dxa"/>
            <w:vAlign w:val="center"/>
          </w:tcPr>
          <w:p w:rsidR="00C72DBD" w:rsidRDefault="00C72DBD">
            <w:pPr>
              <w:numPr>
                <w:ilvl w:val="0"/>
                <w:numId w:val="1"/>
              </w:numPr>
              <w:spacing w:line="360" w:lineRule="auto"/>
              <w:ind w:left="0" w:firstLine="0"/>
              <w:jc w:val="center"/>
              <w:rPr>
                <w:rFonts w:ascii="宋体" w:hAnsi="宋体"/>
                <w:sz w:val="24"/>
              </w:rPr>
            </w:pPr>
          </w:p>
        </w:tc>
        <w:tc>
          <w:tcPr>
            <w:tcW w:w="5650" w:type="dxa"/>
            <w:vAlign w:val="center"/>
          </w:tcPr>
          <w:p w:rsidR="00C72DBD" w:rsidRDefault="00FC0A09">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szCs w:val="32"/>
              </w:rPr>
              <w:t>完成国家与地方政府下达的节能减排目标和任务</w:t>
            </w:r>
          </w:p>
        </w:tc>
        <w:tc>
          <w:tcPr>
            <w:tcW w:w="2148" w:type="dxa"/>
            <w:vAlign w:val="center"/>
          </w:tcPr>
          <w:p w:rsidR="00C72DBD" w:rsidRDefault="00FC0A09">
            <w:pPr>
              <w:spacing w:line="360" w:lineRule="auto"/>
              <w:jc w:val="center"/>
              <w:rPr>
                <w:rFonts w:ascii="宋体" w:hAnsi="宋体"/>
                <w:szCs w:val="21"/>
              </w:rPr>
            </w:pPr>
            <w:r>
              <w:rPr>
                <w:rFonts w:asciiTheme="minorEastAsia" w:eastAsiaTheme="minorEastAsia" w:hAnsiTheme="minorEastAsia" w:hint="eastAsia"/>
                <w:szCs w:val="21"/>
              </w:rPr>
              <w:t>每年度均完成国家与地方政府下达的节能减排目标和任务</w:t>
            </w:r>
          </w:p>
        </w:tc>
      </w:tr>
      <w:tr w:rsidR="00C72DBD">
        <w:tc>
          <w:tcPr>
            <w:tcW w:w="817" w:type="dxa"/>
            <w:vMerge w:val="restart"/>
            <w:vAlign w:val="center"/>
          </w:tcPr>
          <w:p w:rsidR="00C72DBD" w:rsidRDefault="00FC0A09">
            <w:pPr>
              <w:spacing w:line="360" w:lineRule="auto"/>
              <w:jc w:val="center"/>
              <w:rPr>
                <w:rFonts w:ascii="宋体" w:hAnsi="宋体"/>
                <w:sz w:val="24"/>
              </w:rPr>
            </w:pPr>
            <w:r>
              <w:rPr>
                <w:rFonts w:asciiTheme="minorEastAsia" w:eastAsiaTheme="minorEastAsia" w:hAnsiTheme="minorEastAsia" w:hint="eastAsia"/>
                <w:sz w:val="24"/>
                <w:szCs w:val="32"/>
              </w:rPr>
              <w:t>有效管控风险</w:t>
            </w:r>
          </w:p>
        </w:tc>
        <w:tc>
          <w:tcPr>
            <w:tcW w:w="707" w:type="dxa"/>
            <w:vAlign w:val="center"/>
          </w:tcPr>
          <w:p w:rsidR="00C72DBD" w:rsidRDefault="00C72DBD">
            <w:pPr>
              <w:numPr>
                <w:ilvl w:val="0"/>
                <w:numId w:val="1"/>
              </w:numPr>
              <w:spacing w:line="360" w:lineRule="auto"/>
              <w:ind w:left="0" w:firstLine="0"/>
              <w:jc w:val="center"/>
              <w:rPr>
                <w:rFonts w:ascii="宋体" w:hAnsi="宋体"/>
                <w:sz w:val="24"/>
              </w:rPr>
            </w:pPr>
          </w:p>
        </w:tc>
        <w:tc>
          <w:tcPr>
            <w:tcW w:w="5650" w:type="dxa"/>
            <w:vAlign w:val="center"/>
          </w:tcPr>
          <w:p w:rsidR="00C72DBD" w:rsidRDefault="00FC0A09">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szCs w:val="32"/>
              </w:rPr>
              <w:t>有健全环境管理制度及污染事故防范措施</w:t>
            </w:r>
          </w:p>
        </w:tc>
        <w:tc>
          <w:tcPr>
            <w:tcW w:w="2148" w:type="dxa"/>
            <w:vAlign w:val="center"/>
          </w:tcPr>
          <w:p w:rsidR="00C72DBD" w:rsidRDefault="00FC0A09">
            <w:pPr>
              <w:spacing w:line="360" w:lineRule="auto"/>
              <w:jc w:val="center"/>
              <w:rPr>
                <w:rFonts w:ascii="宋体" w:hAnsi="宋体"/>
                <w:szCs w:val="21"/>
              </w:rPr>
            </w:pPr>
            <w:r>
              <w:rPr>
                <w:rFonts w:asciiTheme="minorEastAsia" w:eastAsiaTheme="minorEastAsia" w:hAnsiTheme="minorEastAsia" w:hint="eastAsia"/>
                <w:szCs w:val="21"/>
              </w:rPr>
              <w:t>有健全环境管理制度及污染事故防范措施</w:t>
            </w:r>
          </w:p>
        </w:tc>
      </w:tr>
      <w:tr w:rsidR="00C72DBD">
        <w:tc>
          <w:tcPr>
            <w:tcW w:w="817" w:type="dxa"/>
            <w:vMerge/>
            <w:vAlign w:val="center"/>
          </w:tcPr>
          <w:p w:rsidR="00C72DBD" w:rsidRDefault="00C72DBD">
            <w:pPr>
              <w:spacing w:line="360" w:lineRule="auto"/>
              <w:jc w:val="center"/>
              <w:rPr>
                <w:rFonts w:ascii="宋体" w:hAnsi="宋体"/>
                <w:sz w:val="24"/>
              </w:rPr>
            </w:pPr>
          </w:p>
        </w:tc>
        <w:tc>
          <w:tcPr>
            <w:tcW w:w="707" w:type="dxa"/>
            <w:vAlign w:val="center"/>
          </w:tcPr>
          <w:p w:rsidR="00C72DBD" w:rsidRDefault="00C72DBD">
            <w:pPr>
              <w:numPr>
                <w:ilvl w:val="0"/>
                <w:numId w:val="1"/>
              </w:numPr>
              <w:spacing w:line="360" w:lineRule="auto"/>
              <w:ind w:left="0" w:firstLine="0"/>
              <w:jc w:val="center"/>
              <w:rPr>
                <w:rFonts w:ascii="宋体" w:hAnsi="宋体"/>
                <w:sz w:val="24"/>
              </w:rPr>
            </w:pPr>
          </w:p>
        </w:tc>
        <w:tc>
          <w:tcPr>
            <w:tcW w:w="5650" w:type="dxa"/>
            <w:vAlign w:val="center"/>
          </w:tcPr>
          <w:p w:rsidR="00C72DBD" w:rsidRDefault="00FC0A09">
            <w:pPr>
              <w:spacing w:line="360" w:lineRule="auto"/>
              <w:jc w:val="left"/>
              <w:rPr>
                <w:rFonts w:asciiTheme="minorEastAsia" w:eastAsiaTheme="minorEastAsia" w:hAnsiTheme="minorEastAsia"/>
                <w:sz w:val="24"/>
              </w:rPr>
            </w:pPr>
            <w:r>
              <w:rPr>
                <w:rFonts w:asciiTheme="minorEastAsia" w:eastAsiaTheme="minorEastAsia" w:hAnsiTheme="minorEastAsia" w:hint="eastAsia"/>
                <w:sz w:val="24"/>
                <w:szCs w:val="32"/>
              </w:rPr>
              <w:t>近三年未发生地方政府能源或环保主管部门给予的严重行政处罚、未发生重大环境污染事故、重大环境舆情和重大环境纠纷</w:t>
            </w:r>
          </w:p>
        </w:tc>
        <w:tc>
          <w:tcPr>
            <w:tcW w:w="2148" w:type="dxa"/>
            <w:vAlign w:val="center"/>
          </w:tcPr>
          <w:p w:rsidR="00C72DBD" w:rsidRDefault="00FC0A09">
            <w:pPr>
              <w:spacing w:line="360" w:lineRule="auto"/>
              <w:jc w:val="center"/>
              <w:rPr>
                <w:rFonts w:ascii="宋体" w:hAnsi="宋体"/>
                <w:szCs w:val="21"/>
              </w:rPr>
            </w:pPr>
            <w:r>
              <w:rPr>
                <w:rFonts w:asciiTheme="minorEastAsia" w:eastAsiaTheme="minorEastAsia" w:hAnsiTheme="minorEastAsia" w:hint="eastAsia"/>
                <w:szCs w:val="21"/>
              </w:rPr>
              <w:t>近三年未发生地方政府能源或环保主管部门给予的严重行政处罚、未发生重大环境污染事故、重大环境舆情和重大环境纠纷</w:t>
            </w:r>
          </w:p>
        </w:tc>
      </w:tr>
    </w:tbl>
    <w:p w:rsidR="00C72DBD" w:rsidRDefault="00C72DBD">
      <w:pPr>
        <w:jc w:val="center"/>
        <w:rPr>
          <w:rFonts w:eastAsia="黑体"/>
          <w:sz w:val="32"/>
          <w:szCs w:val="32"/>
        </w:rPr>
      </w:pPr>
    </w:p>
    <w:p w:rsidR="00C72DBD" w:rsidRDefault="00FC0A09" w:rsidP="00A76DEC">
      <w:pPr>
        <w:spacing w:afterLines="50" w:after="156"/>
        <w:jc w:val="center"/>
        <w:rPr>
          <w:rFonts w:eastAsia="黑体" w:cs="黑体"/>
          <w:sz w:val="36"/>
          <w:szCs w:val="36"/>
        </w:rPr>
      </w:pPr>
      <w:r>
        <w:rPr>
          <w:rFonts w:eastAsia="黑体"/>
          <w:sz w:val="32"/>
          <w:szCs w:val="32"/>
        </w:rPr>
        <w:br w:type="page"/>
      </w:r>
      <w:r>
        <w:rPr>
          <w:rFonts w:eastAsia="黑体" w:cs="黑体" w:hint="eastAsia"/>
          <w:sz w:val="36"/>
          <w:szCs w:val="36"/>
        </w:rPr>
        <w:t>三、企业清洁生产主要数据</w:t>
      </w:r>
    </w:p>
    <w:p w:rsidR="00C72DBD" w:rsidRDefault="00FC0A09">
      <w:pPr>
        <w:jc w:val="center"/>
        <w:rPr>
          <w:rFonts w:ascii="宋体" w:cs="仿宋_GB2312"/>
          <w:bCs/>
          <w:sz w:val="30"/>
          <w:szCs w:val="30"/>
        </w:rPr>
      </w:pPr>
      <w:r>
        <w:rPr>
          <w:rFonts w:ascii="宋体" w:hAnsi="宋体" w:cs="仿宋_GB2312"/>
          <w:bCs/>
          <w:sz w:val="30"/>
          <w:szCs w:val="30"/>
        </w:rPr>
        <w:t>1</w:t>
      </w:r>
      <w:r>
        <w:rPr>
          <w:rFonts w:ascii="宋体" w:cs="仿宋_GB2312"/>
          <w:bCs/>
          <w:sz w:val="30"/>
          <w:szCs w:val="30"/>
        </w:rPr>
        <w:t>.</w:t>
      </w:r>
      <w:r>
        <w:rPr>
          <w:rFonts w:ascii="宋体" w:hAnsi="宋体" w:cs="仿宋_GB2312" w:hint="eastAsia"/>
          <w:bCs/>
          <w:sz w:val="30"/>
          <w:szCs w:val="30"/>
        </w:rPr>
        <w:t>钢铁行业清洁生产评价指标体系对照情况</w:t>
      </w:r>
    </w:p>
    <w:p w:rsidR="00C72DBD" w:rsidRDefault="00FC0A09" w:rsidP="00A76DEC">
      <w:pPr>
        <w:spacing w:afterLines="50" w:after="156"/>
        <w:jc w:val="center"/>
        <w:rPr>
          <w:bCs/>
          <w:sz w:val="24"/>
        </w:rPr>
      </w:pPr>
      <w:r>
        <w:rPr>
          <w:bCs/>
          <w:sz w:val="24"/>
        </w:rPr>
        <w:t>(</w:t>
      </w:r>
      <w:r>
        <w:rPr>
          <w:bCs/>
          <w:sz w:val="24"/>
        </w:rPr>
        <w:t>根据规范的定义，在表中标明企业自己的实际情况和计算的指标。数据以</w:t>
      </w:r>
      <w:r>
        <w:rPr>
          <w:bCs/>
          <w:sz w:val="24"/>
        </w:rPr>
        <w:t>2023</w:t>
      </w:r>
      <w:r>
        <w:rPr>
          <w:bCs/>
          <w:sz w:val="24"/>
        </w:rPr>
        <w:t>年全年数据为主，兼顾</w:t>
      </w:r>
      <w:r>
        <w:rPr>
          <w:bCs/>
          <w:sz w:val="24"/>
        </w:rPr>
        <w:t>2022</w:t>
      </w:r>
      <w:r>
        <w:rPr>
          <w:bCs/>
          <w:sz w:val="24"/>
        </w:rPr>
        <w:t>年全年和</w:t>
      </w:r>
      <w:r>
        <w:rPr>
          <w:bCs/>
          <w:sz w:val="24"/>
        </w:rPr>
        <w:t>2024</w:t>
      </w:r>
      <w:r>
        <w:rPr>
          <w:bCs/>
          <w:sz w:val="24"/>
        </w:rPr>
        <w:t>年一季度。</w:t>
      </w:r>
      <w:r>
        <w:rPr>
          <w:bCs/>
          <w:sz w:val="24"/>
        </w:rPr>
        <w:t>)</w:t>
      </w:r>
    </w:p>
    <w:tbl>
      <w:tblPr>
        <w:tblW w:w="8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34"/>
        <w:gridCol w:w="4347"/>
      </w:tblGrid>
      <w:tr w:rsidR="00C72DBD">
        <w:trPr>
          <w:cantSplit/>
          <w:trHeight w:val="556"/>
          <w:tblHeader/>
          <w:jc w:val="center"/>
        </w:trPr>
        <w:tc>
          <w:tcPr>
            <w:tcW w:w="4334" w:type="dxa"/>
            <w:vAlign w:val="center"/>
          </w:tcPr>
          <w:p w:rsidR="00C72DBD" w:rsidRDefault="00FC0A09">
            <w:pPr>
              <w:adjustRightInd w:val="0"/>
              <w:snapToGrid w:val="0"/>
              <w:jc w:val="center"/>
              <w:rPr>
                <w:bCs/>
                <w:kern w:val="24"/>
                <w:sz w:val="24"/>
              </w:rPr>
            </w:pPr>
            <w:r>
              <w:rPr>
                <w:bCs/>
                <w:kern w:val="24"/>
                <w:sz w:val="24"/>
              </w:rPr>
              <w:t>指标项</w:t>
            </w:r>
          </w:p>
        </w:tc>
        <w:tc>
          <w:tcPr>
            <w:tcW w:w="4347" w:type="dxa"/>
            <w:vAlign w:val="center"/>
          </w:tcPr>
          <w:p w:rsidR="00C72DBD" w:rsidRDefault="00FC0A09">
            <w:pPr>
              <w:snapToGrid w:val="0"/>
              <w:jc w:val="center"/>
              <w:rPr>
                <w:bCs/>
                <w:kern w:val="24"/>
                <w:sz w:val="24"/>
              </w:rPr>
            </w:pPr>
            <w:r>
              <w:rPr>
                <w:bCs/>
                <w:kern w:val="24"/>
                <w:sz w:val="24"/>
              </w:rPr>
              <w:t>企业实际情况和指标</w:t>
            </w:r>
          </w:p>
        </w:tc>
      </w:tr>
      <w:tr w:rsidR="00C72DBD">
        <w:trPr>
          <w:cantSplit/>
          <w:trHeight w:val="567"/>
          <w:jc w:val="center"/>
        </w:trPr>
        <w:tc>
          <w:tcPr>
            <w:tcW w:w="8681" w:type="dxa"/>
            <w:gridSpan w:val="2"/>
            <w:vAlign w:val="center"/>
          </w:tcPr>
          <w:p w:rsidR="00C72DBD" w:rsidRDefault="00FC0A09">
            <w:pPr>
              <w:snapToGrid w:val="0"/>
              <w:rPr>
                <w:bCs/>
                <w:kern w:val="24"/>
                <w:sz w:val="24"/>
              </w:rPr>
            </w:pPr>
            <w:r>
              <w:rPr>
                <w:bCs/>
                <w:kern w:val="24"/>
                <w:sz w:val="24"/>
              </w:rPr>
              <w:t>一、生产工艺装备与技术指标</w:t>
            </w:r>
          </w:p>
        </w:tc>
      </w:tr>
      <w:tr w:rsidR="00C72DBD">
        <w:trPr>
          <w:cantSplit/>
          <w:trHeight w:val="1134"/>
          <w:jc w:val="center"/>
        </w:trPr>
        <w:tc>
          <w:tcPr>
            <w:tcW w:w="4334" w:type="dxa"/>
            <w:vAlign w:val="center"/>
          </w:tcPr>
          <w:p w:rsidR="00C72DBD" w:rsidRDefault="00FC0A09">
            <w:pPr>
              <w:snapToGrid w:val="0"/>
              <w:ind w:left="480" w:hangingChars="200" w:hanging="480"/>
              <w:jc w:val="left"/>
              <w:rPr>
                <w:bCs/>
                <w:kern w:val="24"/>
                <w:sz w:val="24"/>
              </w:rPr>
            </w:pPr>
            <w:r>
              <w:rPr>
                <w:bCs/>
                <w:kern w:val="24"/>
                <w:sz w:val="24"/>
              </w:rPr>
              <w:t>1.</w:t>
            </w:r>
            <w:r>
              <w:rPr>
                <w:bCs/>
                <w:kern w:val="24"/>
                <w:sz w:val="24"/>
              </w:rPr>
              <w:t>焦炉装备配置率</w:t>
            </w:r>
          </w:p>
        </w:tc>
        <w:tc>
          <w:tcPr>
            <w:tcW w:w="4347" w:type="dxa"/>
            <w:vAlign w:val="center"/>
          </w:tcPr>
          <w:p w:rsidR="00C72DBD" w:rsidRDefault="00FC0A09">
            <w:pPr>
              <w:snapToGrid w:val="0"/>
              <w:jc w:val="left"/>
              <w:rPr>
                <w:bCs/>
                <w:kern w:val="24"/>
                <w:szCs w:val="21"/>
              </w:rPr>
            </w:pPr>
            <w:r>
              <w:rPr>
                <w:bCs/>
                <w:kern w:val="24"/>
                <w:szCs w:val="21"/>
              </w:rPr>
              <w:t>企业实际：</w:t>
            </w:r>
            <w:r>
              <w:rPr>
                <w:bCs/>
                <w:kern w:val="24"/>
                <w:szCs w:val="21"/>
              </w:rPr>
              <w:t>1</w:t>
            </w:r>
            <w:r>
              <w:rPr>
                <w:bCs/>
                <w:kern w:val="24"/>
                <w:szCs w:val="21"/>
              </w:rPr>
              <w:t>座</w:t>
            </w:r>
            <w:r>
              <w:rPr>
                <w:bCs/>
                <w:kern w:val="24"/>
                <w:szCs w:val="21"/>
              </w:rPr>
              <w:t>2×6.73m</w:t>
            </w:r>
            <w:r>
              <w:rPr>
                <w:bCs/>
                <w:kern w:val="24"/>
                <w:szCs w:val="21"/>
              </w:rPr>
              <w:t>炭化室捣固焦炉</w:t>
            </w:r>
            <w:r>
              <w:rPr>
                <w:rFonts w:hint="eastAsia"/>
                <w:bCs/>
                <w:kern w:val="24"/>
                <w:szCs w:val="21"/>
              </w:rPr>
              <w:t>，</w:t>
            </w:r>
            <w:r>
              <w:rPr>
                <w:bCs/>
                <w:kern w:val="24"/>
                <w:szCs w:val="21"/>
              </w:rPr>
              <w:t>配置率</w:t>
            </w:r>
            <w:r>
              <w:rPr>
                <w:bCs/>
                <w:kern w:val="24"/>
                <w:szCs w:val="21"/>
              </w:rPr>
              <w:t>100%</w:t>
            </w:r>
          </w:p>
          <w:p w:rsidR="00C72DBD" w:rsidRDefault="00FC0A09">
            <w:pPr>
              <w:snapToGrid w:val="0"/>
              <w:jc w:val="left"/>
              <w:rPr>
                <w:bCs/>
                <w:kern w:val="24"/>
                <w:szCs w:val="21"/>
              </w:rPr>
            </w:pPr>
            <w:r>
              <w:rPr>
                <w:bCs/>
                <w:kern w:val="24"/>
                <w:szCs w:val="21"/>
              </w:rPr>
              <w:t>评价指标：</w:t>
            </w:r>
            <w:r>
              <w:rPr>
                <w:bCs/>
                <w:kern w:val="24"/>
                <w:szCs w:val="21"/>
              </w:rPr>
              <w:t xml:space="preserve">Ⅰ </w:t>
            </w:r>
            <w:r>
              <w:rPr>
                <w:bCs/>
                <w:kern w:val="24"/>
                <w:szCs w:val="21"/>
              </w:rPr>
              <w:t>级基准值</w:t>
            </w:r>
          </w:p>
        </w:tc>
      </w:tr>
      <w:tr w:rsidR="00C72DBD">
        <w:trPr>
          <w:cantSplit/>
          <w:trHeight w:val="1134"/>
          <w:jc w:val="center"/>
        </w:trPr>
        <w:tc>
          <w:tcPr>
            <w:tcW w:w="4334" w:type="dxa"/>
            <w:vAlign w:val="center"/>
          </w:tcPr>
          <w:p w:rsidR="00C72DBD" w:rsidRDefault="00FC0A09">
            <w:pPr>
              <w:snapToGrid w:val="0"/>
              <w:ind w:left="480" w:hangingChars="200" w:hanging="480"/>
              <w:jc w:val="left"/>
              <w:rPr>
                <w:bCs/>
                <w:kern w:val="24"/>
                <w:sz w:val="24"/>
              </w:rPr>
            </w:pPr>
            <w:r>
              <w:rPr>
                <w:bCs/>
                <w:kern w:val="24"/>
                <w:sz w:val="24"/>
              </w:rPr>
              <w:t>2.</w:t>
            </w:r>
            <w:r>
              <w:rPr>
                <w:bCs/>
                <w:kern w:val="24"/>
                <w:sz w:val="24"/>
              </w:rPr>
              <w:t>烧结机装备配置率</w:t>
            </w:r>
          </w:p>
        </w:tc>
        <w:tc>
          <w:tcPr>
            <w:tcW w:w="4347" w:type="dxa"/>
            <w:vAlign w:val="center"/>
          </w:tcPr>
          <w:p w:rsidR="00C72DBD" w:rsidRDefault="00FC0A09">
            <w:pPr>
              <w:snapToGrid w:val="0"/>
              <w:jc w:val="left"/>
              <w:rPr>
                <w:bCs/>
                <w:kern w:val="24"/>
                <w:szCs w:val="21"/>
              </w:rPr>
            </w:pPr>
            <w:r>
              <w:rPr>
                <w:bCs/>
                <w:kern w:val="24"/>
                <w:szCs w:val="21"/>
              </w:rPr>
              <w:t>企业实际：</w:t>
            </w:r>
            <w:r>
              <w:rPr>
                <w:bCs/>
                <w:kern w:val="24"/>
                <w:szCs w:val="21"/>
              </w:rPr>
              <w:t>1</w:t>
            </w:r>
            <w:r>
              <w:rPr>
                <w:bCs/>
                <w:kern w:val="24"/>
                <w:szCs w:val="21"/>
              </w:rPr>
              <w:t>台</w:t>
            </w:r>
            <w:r>
              <w:rPr>
                <w:bCs/>
                <w:kern w:val="24"/>
                <w:szCs w:val="21"/>
              </w:rPr>
              <w:t>200m</w:t>
            </w:r>
            <w:r>
              <w:rPr>
                <w:bCs/>
                <w:kern w:val="24"/>
                <w:szCs w:val="21"/>
                <w:vertAlign w:val="superscript"/>
              </w:rPr>
              <w:t>2</w:t>
            </w:r>
            <w:r>
              <w:rPr>
                <w:rFonts w:hint="eastAsia"/>
                <w:bCs/>
                <w:kern w:val="24"/>
                <w:szCs w:val="21"/>
              </w:rPr>
              <w:t>，</w:t>
            </w:r>
            <w:r>
              <w:rPr>
                <w:bCs/>
                <w:kern w:val="24"/>
                <w:szCs w:val="21"/>
              </w:rPr>
              <w:t>2</w:t>
            </w:r>
            <w:r>
              <w:rPr>
                <w:bCs/>
                <w:kern w:val="24"/>
                <w:szCs w:val="21"/>
              </w:rPr>
              <w:t>台</w:t>
            </w:r>
            <w:r>
              <w:rPr>
                <w:bCs/>
                <w:kern w:val="24"/>
                <w:szCs w:val="21"/>
              </w:rPr>
              <w:t>90m</w:t>
            </w:r>
            <w:r>
              <w:rPr>
                <w:bCs/>
                <w:kern w:val="24"/>
                <w:szCs w:val="21"/>
                <w:vertAlign w:val="superscript"/>
              </w:rPr>
              <w:t>2</w:t>
            </w:r>
            <w:r>
              <w:rPr>
                <w:bCs/>
                <w:kern w:val="24"/>
                <w:szCs w:val="21"/>
              </w:rPr>
              <w:t>（铸造烧结），配置率</w:t>
            </w:r>
            <w:r>
              <w:rPr>
                <w:bCs/>
                <w:kern w:val="24"/>
                <w:szCs w:val="21"/>
              </w:rPr>
              <w:t>100%</w:t>
            </w:r>
          </w:p>
          <w:p w:rsidR="00C72DBD" w:rsidRDefault="00FC0A09">
            <w:pPr>
              <w:snapToGrid w:val="0"/>
              <w:jc w:val="left"/>
              <w:rPr>
                <w:bCs/>
                <w:kern w:val="24"/>
                <w:szCs w:val="21"/>
              </w:rPr>
            </w:pPr>
            <w:r>
              <w:rPr>
                <w:bCs/>
                <w:kern w:val="24"/>
                <w:szCs w:val="21"/>
              </w:rPr>
              <w:t>评价指标：</w:t>
            </w:r>
            <w:r>
              <w:rPr>
                <w:bCs/>
                <w:kern w:val="24"/>
                <w:szCs w:val="21"/>
              </w:rPr>
              <w:t xml:space="preserve">Ⅱ </w:t>
            </w:r>
            <w:r>
              <w:rPr>
                <w:bCs/>
                <w:kern w:val="24"/>
                <w:szCs w:val="21"/>
              </w:rPr>
              <w:t>级基准值</w:t>
            </w:r>
          </w:p>
        </w:tc>
      </w:tr>
      <w:tr w:rsidR="00C72DBD">
        <w:trPr>
          <w:cantSplit/>
          <w:trHeight w:val="850"/>
          <w:jc w:val="center"/>
        </w:trPr>
        <w:tc>
          <w:tcPr>
            <w:tcW w:w="4334" w:type="dxa"/>
            <w:vAlign w:val="center"/>
          </w:tcPr>
          <w:p w:rsidR="00C72DBD" w:rsidRDefault="00FC0A09">
            <w:pPr>
              <w:snapToGrid w:val="0"/>
              <w:ind w:left="480" w:hangingChars="200" w:hanging="480"/>
              <w:jc w:val="left"/>
              <w:rPr>
                <w:bCs/>
                <w:kern w:val="24"/>
                <w:sz w:val="24"/>
              </w:rPr>
            </w:pPr>
            <w:r>
              <w:rPr>
                <w:bCs/>
                <w:kern w:val="24"/>
                <w:sz w:val="24"/>
              </w:rPr>
              <w:t>3.</w:t>
            </w:r>
            <w:r>
              <w:rPr>
                <w:bCs/>
                <w:kern w:val="24"/>
                <w:sz w:val="24"/>
              </w:rPr>
              <w:t>球团装备配置</w:t>
            </w:r>
          </w:p>
        </w:tc>
        <w:tc>
          <w:tcPr>
            <w:tcW w:w="4347" w:type="dxa"/>
            <w:vAlign w:val="center"/>
          </w:tcPr>
          <w:p w:rsidR="00C72DBD" w:rsidRDefault="00FC0A09">
            <w:pPr>
              <w:snapToGrid w:val="0"/>
              <w:jc w:val="left"/>
              <w:rPr>
                <w:bCs/>
                <w:kern w:val="24"/>
                <w:szCs w:val="21"/>
              </w:rPr>
            </w:pPr>
            <w:r>
              <w:rPr>
                <w:bCs/>
                <w:kern w:val="24"/>
                <w:szCs w:val="21"/>
              </w:rPr>
              <w:t>企业实际：</w:t>
            </w:r>
            <w:r>
              <w:rPr>
                <w:bCs/>
                <w:kern w:val="24"/>
                <w:szCs w:val="21"/>
              </w:rPr>
              <w:t>1</w:t>
            </w:r>
            <w:r>
              <w:rPr>
                <w:bCs/>
                <w:kern w:val="24"/>
                <w:szCs w:val="21"/>
              </w:rPr>
              <w:t>座年产</w:t>
            </w:r>
            <w:r>
              <w:rPr>
                <w:bCs/>
                <w:kern w:val="24"/>
                <w:szCs w:val="21"/>
              </w:rPr>
              <w:t>30</w:t>
            </w:r>
            <w:r>
              <w:rPr>
                <w:bCs/>
                <w:kern w:val="24"/>
                <w:szCs w:val="21"/>
              </w:rPr>
              <w:t>万</w:t>
            </w:r>
            <w:r>
              <w:rPr>
                <w:bCs/>
                <w:kern w:val="24"/>
                <w:szCs w:val="21"/>
              </w:rPr>
              <w:t>t</w:t>
            </w:r>
            <w:r>
              <w:rPr>
                <w:bCs/>
                <w:kern w:val="24"/>
                <w:szCs w:val="21"/>
              </w:rPr>
              <w:t>链箅机</w:t>
            </w:r>
            <w:r>
              <w:rPr>
                <w:bCs/>
                <w:kern w:val="24"/>
                <w:szCs w:val="21"/>
              </w:rPr>
              <w:t>-</w:t>
            </w:r>
            <w:r>
              <w:rPr>
                <w:bCs/>
                <w:kern w:val="24"/>
                <w:szCs w:val="21"/>
              </w:rPr>
              <w:t>回转窑</w:t>
            </w:r>
          </w:p>
          <w:p w:rsidR="00C72DBD" w:rsidRDefault="00FC0A09">
            <w:pPr>
              <w:snapToGrid w:val="0"/>
              <w:jc w:val="left"/>
              <w:rPr>
                <w:bCs/>
                <w:kern w:val="24"/>
                <w:szCs w:val="21"/>
              </w:rPr>
            </w:pPr>
            <w:r>
              <w:rPr>
                <w:bCs/>
                <w:kern w:val="24"/>
                <w:szCs w:val="21"/>
              </w:rPr>
              <w:t>评价指标：</w:t>
            </w:r>
            <w:r>
              <w:rPr>
                <w:bCs/>
                <w:kern w:val="24"/>
                <w:szCs w:val="21"/>
              </w:rPr>
              <w:t xml:space="preserve">Ⅲ </w:t>
            </w:r>
            <w:r>
              <w:rPr>
                <w:bCs/>
                <w:kern w:val="24"/>
                <w:szCs w:val="21"/>
              </w:rPr>
              <w:t>级基准值</w:t>
            </w:r>
          </w:p>
        </w:tc>
      </w:tr>
      <w:tr w:rsidR="00C72DBD">
        <w:trPr>
          <w:cantSplit/>
          <w:trHeight w:val="1134"/>
          <w:jc w:val="center"/>
        </w:trPr>
        <w:tc>
          <w:tcPr>
            <w:tcW w:w="4334" w:type="dxa"/>
            <w:vAlign w:val="center"/>
          </w:tcPr>
          <w:p w:rsidR="00C72DBD" w:rsidRDefault="00FC0A09">
            <w:pPr>
              <w:snapToGrid w:val="0"/>
              <w:ind w:left="480" w:hangingChars="200" w:hanging="480"/>
              <w:jc w:val="left"/>
              <w:rPr>
                <w:bCs/>
                <w:kern w:val="24"/>
                <w:sz w:val="24"/>
              </w:rPr>
            </w:pPr>
            <w:r>
              <w:rPr>
                <w:bCs/>
                <w:kern w:val="24"/>
                <w:sz w:val="24"/>
              </w:rPr>
              <w:t>4.</w:t>
            </w:r>
            <w:r>
              <w:rPr>
                <w:bCs/>
                <w:kern w:val="24"/>
                <w:sz w:val="24"/>
              </w:rPr>
              <w:t>高炉装备配置率</w:t>
            </w:r>
          </w:p>
        </w:tc>
        <w:tc>
          <w:tcPr>
            <w:tcW w:w="4347" w:type="dxa"/>
            <w:vAlign w:val="center"/>
          </w:tcPr>
          <w:p w:rsidR="00C72DBD" w:rsidRDefault="00FC0A09">
            <w:pPr>
              <w:snapToGrid w:val="0"/>
              <w:jc w:val="left"/>
              <w:rPr>
                <w:bCs/>
                <w:kern w:val="24"/>
                <w:szCs w:val="21"/>
              </w:rPr>
            </w:pPr>
            <w:r>
              <w:rPr>
                <w:bCs/>
                <w:kern w:val="24"/>
                <w:szCs w:val="21"/>
              </w:rPr>
              <w:t>企业实际：</w:t>
            </w:r>
            <w:r>
              <w:rPr>
                <w:bCs/>
                <w:kern w:val="24"/>
                <w:szCs w:val="21"/>
              </w:rPr>
              <w:t>1280m</w:t>
            </w:r>
            <w:r>
              <w:rPr>
                <w:bCs/>
                <w:kern w:val="24"/>
                <w:szCs w:val="21"/>
                <w:vertAlign w:val="superscript"/>
              </w:rPr>
              <w:t>3</w:t>
            </w:r>
            <w:r>
              <w:rPr>
                <w:bCs/>
                <w:kern w:val="24"/>
                <w:szCs w:val="21"/>
              </w:rPr>
              <w:t>炼钢高炉</w:t>
            </w:r>
            <w:r>
              <w:rPr>
                <w:bCs/>
                <w:kern w:val="24"/>
                <w:szCs w:val="21"/>
              </w:rPr>
              <w:t>1</w:t>
            </w:r>
            <w:r>
              <w:rPr>
                <w:bCs/>
                <w:kern w:val="24"/>
                <w:szCs w:val="21"/>
              </w:rPr>
              <w:t>座，</w:t>
            </w:r>
            <w:r>
              <w:rPr>
                <w:bCs/>
                <w:kern w:val="24"/>
                <w:szCs w:val="21"/>
              </w:rPr>
              <w:t>308m</w:t>
            </w:r>
            <w:r>
              <w:rPr>
                <w:bCs/>
                <w:kern w:val="24"/>
                <w:szCs w:val="21"/>
                <w:vertAlign w:val="superscript"/>
              </w:rPr>
              <w:t>3</w:t>
            </w:r>
            <w:r>
              <w:rPr>
                <w:bCs/>
                <w:kern w:val="24"/>
                <w:szCs w:val="21"/>
              </w:rPr>
              <w:t>和</w:t>
            </w:r>
            <w:r>
              <w:rPr>
                <w:bCs/>
                <w:kern w:val="24"/>
                <w:szCs w:val="21"/>
              </w:rPr>
              <w:t>420m</w:t>
            </w:r>
            <w:r>
              <w:rPr>
                <w:bCs/>
                <w:kern w:val="24"/>
                <w:szCs w:val="21"/>
                <w:vertAlign w:val="superscript"/>
              </w:rPr>
              <w:t>3</w:t>
            </w:r>
            <w:r>
              <w:rPr>
                <w:bCs/>
                <w:kern w:val="24"/>
                <w:szCs w:val="21"/>
              </w:rPr>
              <w:t>铸造高炉各</w:t>
            </w:r>
            <w:r>
              <w:rPr>
                <w:bCs/>
                <w:kern w:val="24"/>
                <w:szCs w:val="21"/>
              </w:rPr>
              <w:t>1</w:t>
            </w:r>
            <w:r>
              <w:rPr>
                <w:bCs/>
                <w:kern w:val="24"/>
                <w:szCs w:val="21"/>
              </w:rPr>
              <w:t>座，配置率</w:t>
            </w:r>
            <w:r>
              <w:rPr>
                <w:bCs/>
                <w:kern w:val="24"/>
                <w:szCs w:val="21"/>
              </w:rPr>
              <w:t>100%</w:t>
            </w:r>
          </w:p>
          <w:p w:rsidR="00C72DBD" w:rsidRDefault="00FC0A09">
            <w:pPr>
              <w:snapToGrid w:val="0"/>
              <w:jc w:val="left"/>
              <w:rPr>
                <w:bCs/>
                <w:kern w:val="24"/>
                <w:szCs w:val="21"/>
              </w:rPr>
            </w:pPr>
            <w:r>
              <w:rPr>
                <w:bCs/>
                <w:kern w:val="24"/>
                <w:szCs w:val="21"/>
              </w:rPr>
              <w:t>评价指标：</w:t>
            </w:r>
            <w:r>
              <w:rPr>
                <w:bCs/>
                <w:kern w:val="24"/>
                <w:szCs w:val="21"/>
              </w:rPr>
              <w:t xml:space="preserve">Ⅲ </w:t>
            </w:r>
            <w:r>
              <w:rPr>
                <w:bCs/>
                <w:kern w:val="24"/>
                <w:szCs w:val="21"/>
              </w:rPr>
              <w:t>级基准值</w:t>
            </w:r>
          </w:p>
        </w:tc>
      </w:tr>
      <w:tr w:rsidR="00C72DBD">
        <w:trPr>
          <w:cantSplit/>
          <w:trHeight w:val="850"/>
          <w:jc w:val="center"/>
        </w:trPr>
        <w:tc>
          <w:tcPr>
            <w:tcW w:w="4334" w:type="dxa"/>
            <w:vAlign w:val="center"/>
          </w:tcPr>
          <w:p w:rsidR="00C72DBD" w:rsidRDefault="00FC0A09">
            <w:pPr>
              <w:snapToGrid w:val="0"/>
              <w:ind w:left="480" w:hangingChars="200" w:hanging="480"/>
              <w:jc w:val="left"/>
              <w:rPr>
                <w:bCs/>
                <w:kern w:val="24"/>
                <w:sz w:val="24"/>
              </w:rPr>
            </w:pPr>
            <w:r>
              <w:rPr>
                <w:bCs/>
                <w:kern w:val="24"/>
                <w:sz w:val="24"/>
              </w:rPr>
              <w:t>5.</w:t>
            </w:r>
            <w:r>
              <w:rPr>
                <w:bCs/>
                <w:kern w:val="24"/>
                <w:sz w:val="24"/>
              </w:rPr>
              <w:t>转炉装备配置率</w:t>
            </w:r>
          </w:p>
        </w:tc>
        <w:tc>
          <w:tcPr>
            <w:tcW w:w="4347" w:type="dxa"/>
            <w:vAlign w:val="center"/>
          </w:tcPr>
          <w:p w:rsidR="00C72DBD" w:rsidRDefault="00FC0A09">
            <w:pPr>
              <w:snapToGrid w:val="0"/>
              <w:jc w:val="left"/>
              <w:rPr>
                <w:bCs/>
                <w:kern w:val="24"/>
                <w:szCs w:val="21"/>
              </w:rPr>
            </w:pPr>
            <w:r>
              <w:rPr>
                <w:bCs/>
                <w:kern w:val="24"/>
                <w:szCs w:val="21"/>
              </w:rPr>
              <w:t>企业实际：</w:t>
            </w:r>
            <w:r>
              <w:rPr>
                <w:bCs/>
                <w:kern w:val="24"/>
                <w:szCs w:val="21"/>
              </w:rPr>
              <w:t>2</w:t>
            </w:r>
            <w:r>
              <w:rPr>
                <w:bCs/>
                <w:kern w:val="24"/>
                <w:szCs w:val="21"/>
              </w:rPr>
              <w:t>座</w:t>
            </w:r>
            <w:r>
              <w:rPr>
                <w:bCs/>
                <w:kern w:val="24"/>
                <w:szCs w:val="21"/>
              </w:rPr>
              <w:t>80t</w:t>
            </w:r>
            <w:r>
              <w:rPr>
                <w:bCs/>
                <w:kern w:val="24"/>
                <w:szCs w:val="21"/>
              </w:rPr>
              <w:t>转炉</w:t>
            </w:r>
          </w:p>
          <w:p w:rsidR="00C72DBD" w:rsidRDefault="00FC0A09">
            <w:pPr>
              <w:snapToGrid w:val="0"/>
              <w:jc w:val="left"/>
              <w:rPr>
                <w:bCs/>
                <w:kern w:val="24"/>
                <w:szCs w:val="21"/>
              </w:rPr>
            </w:pPr>
            <w:r>
              <w:rPr>
                <w:bCs/>
                <w:kern w:val="24"/>
                <w:szCs w:val="21"/>
              </w:rPr>
              <w:t>评价指标：</w:t>
            </w:r>
            <w:r>
              <w:rPr>
                <w:bCs/>
                <w:kern w:val="24"/>
                <w:szCs w:val="21"/>
              </w:rPr>
              <w:t xml:space="preserve">Ⅲ </w:t>
            </w:r>
            <w:r>
              <w:rPr>
                <w:bCs/>
                <w:kern w:val="24"/>
                <w:szCs w:val="21"/>
              </w:rPr>
              <w:t>级基准值</w:t>
            </w:r>
          </w:p>
        </w:tc>
      </w:tr>
      <w:tr w:rsidR="00C72DBD">
        <w:trPr>
          <w:cantSplit/>
          <w:trHeight w:val="850"/>
          <w:jc w:val="center"/>
        </w:trPr>
        <w:tc>
          <w:tcPr>
            <w:tcW w:w="4334" w:type="dxa"/>
            <w:vAlign w:val="center"/>
          </w:tcPr>
          <w:p w:rsidR="00C72DBD" w:rsidRDefault="00FC0A09">
            <w:pPr>
              <w:snapToGrid w:val="0"/>
              <w:ind w:left="480" w:hangingChars="200" w:hanging="480"/>
              <w:jc w:val="left"/>
              <w:rPr>
                <w:bCs/>
                <w:kern w:val="24"/>
                <w:sz w:val="24"/>
              </w:rPr>
            </w:pPr>
            <w:r>
              <w:rPr>
                <w:bCs/>
                <w:kern w:val="24"/>
                <w:sz w:val="24"/>
              </w:rPr>
              <w:t>6.</w:t>
            </w:r>
            <w:r>
              <w:rPr>
                <w:bCs/>
                <w:kern w:val="24"/>
                <w:sz w:val="24"/>
              </w:rPr>
              <w:t>铁</w:t>
            </w:r>
            <w:r>
              <w:rPr>
                <w:bCs/>
                <w:kern w:val="24"/>
                <w:sz w:val="24"/>
              </w:rPr>
              <w:t>-</w:t>
            </w:r>
            <w:r>
              <w:rPr>
                <w:bCs/>
                <w:kern w:val="24"/>
                <w:sz w:val="24"/>
              </w:rPr>
              <w:t>钢高效衔接技术</w:t>
            </w:r>
          </w:p>
        </w:tc>
        <w:tc>
          <w:tcPr>
            <w:tcW w:w="4347" w:type="dxa"/>
            <w:vAlign w:val="center"/>
          </w:tcPr>
          <w:p w:rsidR="00C72DBD" w:rsidRDefault="00FC0A09">
            <w:pPr>
              <w:snapToGrid w:val="0"/>
              <w:jc w:val="left"/>
              <w:rPr>
                <w:bCs/>
                <w:kern w:val="24"/>
                <w:szCs w:val="21"/>
              </w:rPr>
            </w:pPr>
            <w:r>
              <w:rPr>
                <w:bCs/>
                <w:kern w:val="24"/>
                <w:szCs w:val="21"/>
              </w:rPr>
              <w:t>企业实际：采用该技术，铁水温降</w:t>
            </w:r>
            <w:r>
              <w:rPr>
                <w:rFonts w:hint="eastAsia"/>
                <w:bCs/>
                <w:kern w:val="24"/>
                <w:szCs w:val="21"/>
              </w:rPr>
              <w:t>约</w:t>
            </w:r>
            <w:r>
              <w:rPr>
                <w:bCs/>
                <w:kern w:val="24"/>
                <w:szCs w:val="21"/>
              </w:rPr>
              <w:t>90℃</w:t>
            </w:r>
          </w:p>
          <w:p w:rsidR="00C72DBD" w:rsidRDefault="00FC0A09">
            <w:pPr>
              <w:snapToGrid w:val="0"/>
              <w:jc w:val="left"/>
              <w:rPr>
                <w:bCs/>
                <w:kern w:val="24"/>
                <w:szCs w:val="21"/>
                <w:highlight w:val="yellow"/>
              </w:rPr>
            </w:pPr>
            <w:r>
              <w:rPr>
                <w:bCs/>
                <w:kern w:val="24"/>
                <w:szCs w:val="21"/>
              </w:rPr>
              <w:t>评价指标：</w:t>
            </w:r>
            <w:r>
              <w:rPr>
                <w:bCs/>
                <w:kern w:val="24"/>
                <w:szCs w:val="21"/>
              </w:rPr>
              <w:t xml:space="preserve">Ⅱ </w:t>
            </w:r>
            <w:r>
              <w:rPr>
                <w:bCs/>
                <w:kern w:val="24"/>
                <w:szCs w:val="21"/>
              </w:rPr>
              <w:t>级基准值</w:t>
            </w:r>
          </w:p>
        </w:tc>
      </w:tr>
      <w:tr w:rsidR="00C72DBD">
        <w:trPr>
          <w:cantSplit/>
          <w:trHeight w:val="850"/>
          <w:jc w:val="center"/>
        </w:trPr>
        <w:tc>
          <w:tcPr>
            <w:tcW w:w="4334" w:type="dxa"/>
            <w:vAlign w:val="center"/>
          </w:tcPr>
          <w:p w:rsidR="00C72DBD" w:rsidRDefault="00FC0A09">
            <w:pPr>
              <w:snapToGrid w:val="0"/>
              <w:ind w:left="480" w:hangingChars="200" w:hanging="480"/>
              <w:jc w:val="left"/>
              <w:rPr>
                <w:bCs/>
                <w:kern w:val="24"/>
                <w:sz w:val="24"/>
              </w:rPr>
            </w:pPr>
            <w:r>
              <w:rPr>
                <w:bCs/>
                <w:kern w:val="24"/>
                <w:sz w:val="24"/>
              </w:rPr>
              <w:t>7.</w:t>
            </w:r>
            <w:r>
              <w:rPr>
                <w:bCs/>
                <w:kern w:val="24"/>
                <w:sz w:val="24"/>
              </w:rPr>
              <w:t>连铸坯热装热送技术</w:t>
            </w:r>
          </w:p>
        </w:tc>
        <w:tc>
          <w:tcPr>
            <w:tcW w:w="4347" w:type="dxa"/>
            <w:vAlign w:val="center"/>
          </w:tcPr>
          <w:p w:rsidR="00C72DBD" w:rsidRDefault="00FC0A09">
            <w:pPr>
              <w:snapToGrid w:val="0"/>
              <w:jc w:val="left"/>
              <w:rPr>
                <w:bCs/>
                <w:kern w:val="24"/>
                <w:szCs w:val="21"/>
              </w:rPr>
            </w:pPr>
            <w:r>
              <w:rPr>
                <w:bCs/>
                <w:kern w:val="24"/>
                <w:szCs w:val="21"/>
              </w:rPr>
              <w:t>企业实际：热装温度</w:t>
            </w:r>
            <w:r>
              <w:rPr>
                <w:bCs/>
                <w:kern w:val="24"/>
                <w:szCs w:val="21"/>
              </w:rPr>
              <w:t>500℃</w:t>
            </w:r>
            <w:r>
              <w:rPr>
                <w:bCs/>
                <w:kern w:val="24"/>
                <w:szCs w:val="21"/>
              </w:rPr>
              <w:t>，热</w:t>
            </w:r>
            <w:r>
              <w:rPr>
                <w:rFonts w:hint="eastAsia"/>
                <w:bCs/>
                <w:kern w:val="24"/>
                <w:szCs w:val="21"/>
              </w:rPr>
              <w:t>装</w:t>
            </w:r>
            <w:r>
              <w:rPr>
                <w:bCs/>
                <w:kern w:val="24"/>
                <w:szCs w:val="21"/>
              </w:rPr>
              <w:t>比</w:t>
            </w:r>
            <w:r>
              <w:rPr>
                <w:bCs/>
                <w:kern w:val="24"/>
                <w:szCs w:val="21"/>
              </w:rPr>
              <w:t>65%</w:t>
            </w:r>
          </w:p>
          <w:p w:rsidR="00C72DBD" w:rsidRDefault="00FC0A09">
            <w:pPr>
              <w:snapToGrid w:val="0"/>
              <w:jc w:val="left"/>
              <w:rPr>
                <w:bCs/>
                <w:kern w:val="24"/>
                <w:szCs w:val="21"/>
              </w:rPr>
            </w:pPr>
            <w:r>
              <w:rPr>
                <w:bCs/>
                <w:kern w:val="24"/>
                <w:szCs w:val="21"/>
              </w:rPr>
              <w:t>评价指标：</w:t>
            </w:r>
            <w:r>
              <w:rPr>
                <w:bCs/>
                <w:kern w:val="24"/>
                <w:szCs w:val="21"/>
              </w:rPr>
              <w:t xml:space="preserve">Ⅱ </w:t>
            </w:r>
            <w:r>
              <w:rPr>
                <w:bCs/>
                <w:kern w:val="24"/>
                <w:szCs w:val="21"/>
              </w:rPr>
              <w:t>级基准值</w:t>
            </w:r>
          </w:p>
        </w:tc>
      </w:tr>
      <w:tr w:rsidR="00C72DBD">
        <w:trPr>
          <w:cantSplit/>
          <w:trHeight w:val="567"/>
          <w:jc w:val="center"/>
        </w:trPr>
        <w:tc>
          <w:tcPr>
            <w:tcW w:w="8681" w:type="dxa"/>
            <w:gridSpan w:val="2"/>
            <w:vAlign w:val="center"/>
          </w:tcPr>
          <w:p w:rsidR="00C72DBD" w:rsidRDefault="00FC0A09">
            <w:pPr>
              <w:snapToGrid w:val="0"/>
              <w:rPr>
                <w:bCs/>
                <w:kern w:val="24"/>
                <w:sz w:val="24"/>
              </w:rPr>
            </w:pPr>
            <w:r>
              <w:rPr>
                <w:bCs/>
                <w:kern w:val="24"/>
                <w:sz w:val="24"/>
              </w:rPr>
              <w:t>二、节能减排装备及技术指标</w:t>
            </w:r>
          </w:p>
        </w:tc>
      </w:tr>
      <w:tr w:rsidR="00C72DBD">
        <w:trPr>
          <w:cantSplit/>
          <w:trHeight w:val="1587"/>
          <w:jc w:val="center"/>
        </w:trPr>
        <w:tc>
          <w:tcPr>
            <w:tcW w:w="4334" w:type="dxa"/>
            <w:vAlign w:val="center"/>
          </w:tcPr>
          <w:p w:rsidR="00C72DBD" w:rsidRDefault="00FC0A09">
            <w:pPr>
              <w:snapToGrid w:val="0"/>
              <w:ind w:left="480" w:hangingChars="200" w:hanging="480"/>
              <w:jc w:val="left"/>
              <w:rPr>
                <w:bCs/>
                <w:kern w:val="24"/>
                <w:sz w:val="24"/>
              </w:rPr>
            </w:pPr>
            <w:r>
              <w:rPr>
                <w:bCs/>
                <w:kern w:val="24"/>
                <w:sz w:val="24"/>
              </w:rPr>
              <w:t>1.</w:t>
            </w:r>
            <w:r>
              <w:rPr>
                <w:bCs/>
                <w:kern w:val="24"/>
                <w:sz w:val="24"/>
              </w:rPr>
              <w:t>原料场污染控制技术</w:t>
            </w:r>
          </w:p>
        </w:tc>
        <w:tc>
          <w:tcPr>
            <w:tcW w:w="4347" w:type="dxa"/>
            <w:vAlign w:val="center"/>
          </w:tcPr>
          <w:p w:rsidR="00C72DBD" w:rsidRDefault="00FC0A09">
            <w:pPr>
              <w:snapToGrid w:val="0"/>
              <w:jc w:val="left"/>
              <w:rPr>
                <w:bCs/>
                <w:kern w:val="24"/>
                <w:szCs w:val="21"/>
              </w:rPr>
            </w:pPr>
            <w:r>
              <w:rPr>
                <w:bCs/>
                <w:kern w:val="24"/>
                <w:szCs w:val="21"/>
              </w:rPr>
              <w:t>企业实际：所有</w:t>
            </w:r>
            <w:r>
              <w:rPr>
                <w:rFonts w:hint="eastAsia"/>
                <w:bCs/>
                <w:kern w:val="24"/>
                <w:szCs w:val="21"/>
              </w:rPr>
              <w:t>原</w:t>
            </w:r>
            <w:r>
              <w:rPr>
                <w:bCs/>
                <w:kern w:val="24"/>
                <w:szCs w:val="21"/>
              </w:rPr>
              <w:t>料场实现全封闭、配备干雾抑尘、超细雾炮、自动洗车机等；采用大型机械化技术，受卸设施由胶带机、火车受卸系统和汽车受卸系统组成。</w:t>
            </w:r>
          </w:p>
          <w:p w:rsidR="00C72DBD" w:rsidRDefault="00FC0A09">
            <w:pPr>
              <w:snapToGrid w:val="0"/>
              <w:jc w:val="left"/>
              <w:rPr>
                <w:bCs/>
                <w:kern w:val="24"/>
                <w:szCs w:val="21"/>
              </w:rPr>
            </w:pPr>
            <w:r>
              <w:rPr>
                <w:bCs/>
                <w:kern w:val="24"/>
                <w:szCs w:val="21"/>
              </w:rPr>
              <w:t>评价指标：</w:t>
            </w:r>
            <w:r>
              <w:rPr>
                <w:bCs/>
                <w:kern w:val="24"/>
                <w:szCs w:val="21"/>
              </w:rPr>
              <w:t xml:space="preserve">Ⅰ </w:t>
            </w:r>
            <w:r>
              <w:rPr>
                <w:bCs/>
                <w:kern w:val="24"/>
                <w:szCs w:val="21"/>
              </w:rPr>
              <w:t>级基准值</w:t>
            </w:r>
          </w:p>
        </w:tc>
      </w:tr>
      <w:tr w:rsidR="00C72DBD">
        <w:trPr>
          <w:cantSplit/>
          <w:trHeight w:val="1134"/>
          <w:jc w:val="center"/>
        </w:trPr>
        <w:tc>
          <w:tcPr>
            <w:tcW w:w="4334" w:type="dxa"/>
            <w:vAlign w:val="center"/>
          </w:tcPr>
          <w:p w:rsidR="00C72DBD" w:rsidRDefault="00FC0A09">
            <w:pPr>
              <w:snapToGrid w:val="0"/>
              <w:ind w:left="480" w:hangingChars="200" w:hanging="480"/>
              <w:jc w:val="left"/>
              <w:rPr>
                <w:bCs/>
                <w:kern w:val="24"/>
                <w:sz w:val="24"/>
              </w:rPr>
            </w:pPr>
            <w:r>
              <w:rPr>
                <w:bCs/>
                <w:kern w:val="24"/>
                <w:sz w:val="24"/>
              </w:rPr>
              <w:t>2.</w:t>
            </w:r>
            <w:r>
              <w:rPr>
                <w:bCs/>
                <w:kern w:val="24"/>
                <w:sz w:val="24"/>
              </w:rPr>
              <w:t>熄焦装备</w:t>
            </w:r>
          </w:p>
        </w:tc>
        <w:tc>
          <w:tcPr>
            <w:tcW w:w="4347" w:type="dxa"/>
            <w:vAlign w:val="center"/>
          </w:tcPr>
          <w:p w:rsidR="00C72DBD" w:rsidRDefault="00FC0A09">
            <w:pPr>
              <w:snapToGrid w:val="0"/>
              <w:jc w:val="left"/>
              <w:rPr>
                <w:bCs/>
                <w:kern w:val="24"/>
                <w:szCs w:val="21"/>
              </w:rPr>
            </w:pPr>
            <w:r>
              <w:rPr>
                <w:bCs/>
                <w:kern w:val="24"/>
                <w:szCs w:val="21"/>
              </w:rPr>
              <w:t>企业实际：</w:t>
            </w:r>
            <w:r>
              <w:rPr>
                <w:rFonts w:hint="eastAsia"/>
                <w:bCs/>
                <w:kern w:val="24"/>
                <w:szCs w:val="21"/>
              </w:rPr>
              <w:t>配备</w:t>
            </w:r>
            <w:r>
              <w:rPr>
                <w:bCs/>
                <w:kern w:val="24"/>
                <w:szCs w:val="21"/>
              </w:rPr>
              <w:t>高温高压干熄焦</w:t>
            </w:r>
            <w:r>
              <w:rPr>
                <w:rFonts w:hint="eastAsia"/>
                <w:bCs/>
                <w:kern w:val="24"/>
                <w:szCs w:val="21"/>
              </w:rPr>
              <w:t>装置</w:t>
            </w:r>
            <w:r>
              <w:rPr>
                <w:bCs/>
                <w:kern w:val="24"/>
                <w:szCs w:val="21"/>
              </w:rPr>
              <w:t>3</w:t>
            </w:r>
            <w:r>
              <w:rPr>
                <w:bCs/>
                <w:kern w:val="24"/>
                <w:szCs w:val="21"/>
              </w:rPr>
              <w:t>套，熄焦量</w:t>
            </w:r>
            <w:r>
              <w:rPr>
                <w:bCs/>
                <w:kern w:val="24"/>
                <w:szCs w:val="21"/>
              </w:rPr>
              <w:t>100%</w:t>
            </w:r>
          </w:p>
          <w:p w:rsidR="00C72DBD" w:rsidRDefault="00FC0A09">
            <w:pPr>
              <w:snapToGrid w:val="0"/>
              <w:jc w:val="left"/>
              <w:rPr>
                <w:bCs/>
                <w:kern w:val="24"/>
                <w:szCs w:val="21"/>
              </w:rPr>
            </w:pPr>
            <w:r>
              <w:rPr>
                <w:bCs/>
                <w:kern w:val="24"/>
                <w:szCs w:val="21"/>
              </w:rPr>
              <w:t>评价指标：</w:t>
            </w:r>
            <w:r>
              <w:rPr>
                <w:bCs/>
                <w:kern w:val="24"/>
                <w:szCs w:val="21"/>
              </w:rPr>
              <w:t xml:space="preserve">Ⅰ </w:t>
            </w:r>
            <w:r>
              <w:rPr>
                <w:bCs/>
                <w:kern w:val="24"/>
                <w:szCs w:val="21"/>
              </w:rPr>
              <w:t>级基准值</w:t>
            </w:r>
          </w:p>
        </w:tc>
      </w:tr>
      <w:tr w:rsidR="00C72DBD">
        <w:trPr>
          <w:cantSplit/>
          <w:trHeight w:val="1134"/>
          <w:jc w:val="center"/>
        </w:trPr>
        <w:tc>
          <w:tcPr>
            <w:tcW w:w="4334" w:type="dxa"/>
            <w:vAlign w:val="center"/>
          </w:tcPr>
          <w:p w:rsidR="00C72DBD" w:rsidRDefault="00FC0A09">
            <w:pPr>
              <w:snapToGrid w:val="0"/>
              <w:ind w:left="480" w:hangingChars="200" w:hanging="480"/>
              <w:jc w:val="left"/>
              <w:rPr>
                <w:bCs/>
                <w:kern w:val="24"/>
                <w:sz w:val="24"/>
              </w:rPr>
            </w:pPr>
            <w:r>
              <w:rPr>
                <w:bCs/>
                <w:kern w:val="24"/>
                <w:sz w:val="24"/>
              </w:rPr>
              <w:t>3.</w:t>
            </w:r>
            <w:r>
              <w:rPr>
                <w:bCs/>
                <w:kern w:val="24"/>
                <w:sz w:val="24"/>
              </w:rPr>
              <w:t>焦炉煤气脱硫脱氰装备</w:t>
            </w:r>
          </w:p>
        </w:tc>
        <w:tc>
          <w:tcPr>
            <w:tcW w:w="4347" w:type="dxa"/>
            <w:vAlign w:val="center"/>
          </w:tcPr>
          <w:p w:rsidR="00C72DBD" w:rsidRDefault="00FC0A09">
            <w:pPr>
              <w:snapToGrid w:val="0"/>
              <w:jc w:val="left"/>
              <w:rPr>
                <w:bCs/>
                <w:kern w:val="24"/>
                <w:szCs w:val="21"/>
              </w:rPr>
            </w:pPr>
            <w:r>
              <w:rPr>
                <w:bCs/>
                <w:kern w:val="24"/>
                <w:szCs w:val="21"/>
              </w:rPr>
              <w:t>企业实际：配备焦炉煤气粗脱硫</w:t>
            </w:r>
            <w:r>
              <w:rPr>
                <w:bCs/>
                <w:kern w:val="24"/>
                <w:szCs w:val="21"/>
              </w:rPr>
              <w:t>+</w:t>
            </w:r>
            <w:r>
              <w:rPr>
                <w:bCs/>
                <w:kern w:val="24"/>
                <w:szCs w:val="21"/>
              </w:rPr>
              <w:t>精脱硫</w:t>
            </w:r>
            <w:r>
              <w:rPr>
                <w:rFonts w:hint="eastAsia"/>
                <w:bCs/>
                <w:kern w:val="24"/>
                <w:szCs w:val="21"/>
              </w:rPr>
              <w:t>设施</w:t>
            </w:r>
            <w:r>
              <w:rPr>
                <w:bCs/>
                <w:kern w:val="24"/>
                <w:szCs w:val="21"/>
              </w:rPr>
              <w:t>，</w:t>
            </w:r>
            <w:r>
              <w:rPr>
                <w:bCs/>
                <w:kern w:val="24"/>
                <w:szCs w:val="21"/>
              </w:rPr>
              <w:t>H</w:t>
            </w:r>
            <w:r>
              <w:rPr>
                <w:bCs/>
                <w:kern w:val="24"/>
                <w:szCs w:val="21"/>
                <w:vertAlign w:val="subscript"/>
              </w:rPr>
              <w:t>2</w:t>
            </w:r>
            <w:r>
              <w:rPr>
                <w:bCs/>
                <w:kern w:val="24"/>
                <w:szCs w:val="21"/>
              </w:rPr>
              <w:t>S≤65mg/m</w:t>
            </w:r>
            <w:r>
              <w:rPr>
                <w:bCs/>
                <w:kern w:val="24"/>
                <w:szCs w:val="21"/>
                <w:vertAlign w:val="superscript"/>
              </w:rPr>
              <w:t>3</w:t>
            </w:r>
            <w:r>
              <w:rPr>
                <w:bCs/>
                <w:kern w:val="24"/>
                <w:szCs w:val="21"/>
              </w:rPr>
              <w:t>，</w:t>
            </w:r>
            <w:r>
              <w:rPr>
                <w:bCs/>
                <w:kern w:val="24"/>
                <w:szCs w:val="21"/>
              </w:rPr>
              <w:t>HCN≤32mg/m</w:t>
            </w:r>
            <w:r>
              <w:rPr>
                <w:bCs/>
                <w:kern w:val="24"/>
                <w:szCs w:val="21"/>
                <w:vertAlign w:val="superscript"/>
              </w:rPr>
              <w:t>3</w:t>
            </w:r>
          </w:p>
          <w:p w:rsidR="00C72DBD" w:rsidRDefault="00FC0A09">
            <w:pPr>
              <w:snapToGrid w:val="0"/>
              <w:jc w:val="left"/>
              <w:rPr>
                <w:bCs/>
                <w:kern w:val="24"/>
                <w:szCs w:val="21"/>
              </w:rPr>
            </w:pPr>
            <w:r>
              <w:rPr>
                <w:bCs/>
                <w:kern w:val="24"/>
                <w:szCs w:val="21"/>
              </w:rPr>
              <w:t>评价指标：</w:t>
            </w:r>
            <w:r>
              <w:rPr>
                <w:bCs/>
                <w:kern w:val="24"/>
                <w:szCs w:val="21"/>
              </w:rPr>
              <w:t xml:space="preserve">Ⅰ </w:t>
            </w:r>
            <w:r>
              <w:rPr>
                <w:bCs/>
                <w:kern w:val="24"/>
                <w:szCs w:val="21"/>
              </w:rPr>
              <w:t>级基准值</w:t>
            </w:r>
          </w:p>
        </w:tc>
      </w:tr>
      <w:tr w:rsidR="00C72DBD">
        <w:trPr>
          <w:cantSplit/>
          <w:trHeight w:val="842"/>
          <w:jc w:val="center"/>
        </w:trPr>
        <w:tc>
          <w:tcPr>
            <w:tcW w:w="4334" w:type="dxa"/>
            <w:vAlign w:val="center"/>
          </w:tcPr>
          <w:p w:rsidR="00C72DBD" w:rsidRDefault="00FC0A09">
            <w:pPr>
              <w:snapToGrid w:val="0"/>
              <w:ind w:left="480" w:hangingChars="200" w:hanging="480"/>
              <w:jc w:val="left"/>
              <w:rPr>
                <w:bCs/>
                <w:kern w:val="24"/>
                <w:sz w:val="24"/>
              </w:rPr>
            </w:pPr>
            <w:r>
              <w:rPr>
                <w:bCs/>
                <w:kern w:val="24"/>
                <w:sz w:val="24"/>
              </w:rPr>
              <w:t>4.</w:t>
            </w:r>
            <w:r>
              <w:rPr>
                <w:bCs/>
                <w:kern w:val="24"/>
                <w:sz w:val="24"/>
              </w:rPr>
              <w:t>煤调湿技术</w:t>
            </w:r>
          </w:p>
        </w:tc>
        <w:tc>
          <w:tcPr>
            <w:tcW w:w="4347" w:type="dxa"/>
            <w:vAlign w:val="center"/>
          </w:tcPr>
          <w:p w:rsidR="00C72DBD" w:rsidRDefault="00FC0A09">
            <w:pPr>
              <w:snapToGrid w:val="0"/>
              <w:jc w:val="left"/>
              <w:rPr>
                <w:bCs/>
                <w:kern w:val="24"/>
                <w:szCs w:val="21"/>
              </w:rPr>
            </w:pPr>
            <w:r>
              <w:rPr>
                <w:bCs/>
                <w:kern w:val="24"/>
                <w:szCs w:val="21"/>
              </w:rPr>
              <w:t>企业实际：采用该技术入炉煤</w:t>
            </w:r>
            <w:r>
              <w:rPr>
                <w:rFonts w:hint="eastAsia"/>
                <w:bCs/>
                <w:kern w:val="24"/>
                <w:szCs w:val="21"/>
              </w:rPr>
              <w:t>料</w:t>
            </w:r>
            <w:r>
              <w:rPr>
                <w:bCs/>
                <w:kern w:val="24"/>
                <w:szCs w:val="21"/>
              </w:rPr>
              <w:t>100%</w:t>
            </w:r>
          </w:p>
          <w:p w:rsidR="00C72DBD" w:rsidRDefault="00FC0A09">
            <w:pPr>
              <w:snapToGrid w:val="0"/>
              <w:jc w:val="left"/>
              <w:rPr>
                <w:bCs/>
                <w:kern w:val="24"/>
                <w:szCs w:val="21"/>
              </w:rPr>
            </w:pPr>
            <w:r>
              <w:rPr>
                <w:bCs/>
                <w:kern w:val="24"/>
                <w:szCs w:val="21"/>
              </w:rPr>
              <w:t>评价指标：</w:t>
            </w:r>
            <w:r>
              <w:rPr>
                <w:bCs/>
                <w:kern w:val="24"/>
                <w:szCs w:val="21"/>
              </w:rPr>
              <w:t xml:space="preserve">Ⅰ </w:t>
            </w:r>
            <w:r>
              <w:rPr>
                <w:bCs/>
                <w:kern w:val="24"/>
                <w:szCs w:val="21"/>
              </w:rPr>
              <w:t>级基准值</w:t>
            </w:r>
          </w:p>
        </w:tc>
      </w:tr>
      <w:tr w:rsidR="00C72DBD">
        <w:trPr>
          <w:cantSplit/>
          <w:trHeight w:val="1134"/>
          <w:jc w:val="center"/>
        </w:trPr>
        <w:tc>
          <w:tcPr>
            <w:tcW w:w="4334" w:type="dxa"/>
            <w:vAlign w:val="center"/>
          </w:tcPr>
          <w:p w:rsidR="00C72DBD" w:rsidRDefault="00FC0A09">
            <w:pPr>
              <w:snapToGrid w:val="0"/>
              <w:ind w:left="240" w:hangingChars="100" w:hanging="240"/>
              <w:jc w:val="left"/>
              <w:rPr>
                <w:bCs/>
                <w:kern w:val="24"/>
                <w:sz w:val="24"/>
              </w:rPr>
            </w:pPr>
            <w:r>
              <w:rPr>
                <w:bCs/>
                <w:kern w:val="24"/>
                <w:sz w:val="24"/>
              </w:rPr>
              <w:t>5.</w:t>
            </w:r>
            <w:r>
              <w:rPr>
                <w:bCs/>
                <w:kern w:val="24"/>
                <w:sz w:val="24"/>
              </w:rPr>
              <w:t>小球烧结技术及厚料层操作</w:t>
            </w:r>
          </w:p>
        </w:tc>
        <w:tc>
          <w:tcPr>
            <w:tcW w:w="4347" w:type="dxa"/>
            <w:vAlign w:val="center"/>
          </w:tcPr>
          <w:p w:rsidR="00C72DBD" w:rsidRDefault="00FC0A09">
            <w:pPr>
              <w:snapToGrid w:val="0"/>
              <w:jc w:val="left"/>
              <w:rPr>
                <w:bCs/>
                <w:kern w:val="24"/>
                <w:szCs w:val="21"/>
              </w:rPr>
            </w:pPr>
            <w:r>
              <w:rPr>
                <w:bCs/>
                <w:kern w:val="24"/>
                <w:szCs w:val="21"/>
              </w:rPr>
              <w:t>企业实际：采用小球烧结技术</w:t>
            </w:r>
            <w:r>
              <w:rPr>
                <w:rFonts w:hint="eastAsia"/>
                <w:bCs/>
                <w:kern w:val="24"/>
                <w:szCs w:val="21"/>
              </w:rPr>
              <w:t>及厚料层操作</w:t>
            </w:r>
            <w:r>
              <w:rPr>
                <w:bCs/>
                <w:kern w:val="24"/>
                <w:szCs w:val="21"/>
              </w:rPr>
              <w:t>，料层厚度</w:t>
            </w:r>
            <w:r>
              <w:rPr>
                <w:bCs/>
                <w:kern w:val="24"/>
                <w:szCs w:val="21"/>
              </w:rPr>
              <w:t>750mm</w:t>
            </w:r>
          </w:p>
          <w:p w:rsidR="00C72DBD" w:rsidRDefault="00FC0A09">
            <w:pPr>
              <w:snapToGrid w:val="0"/>
              <w:jc w:val="left"/>
              <w:rPr>
                <w:bCs/>
                <w:kern w:val="24"/>
                <w:szCs w:val="21"/>
              </w:rPr>
            </w:pPr>
            <w:r>
              <w:rPr>
                <w:bCs/>
                <w:kern w:val="24"/>
                <w:szCs w:val="21"/>
              </w:rPr>
              <w:t>评价指标：</w:t>
            </w:r>
            <w:r>
              <w:rPr>
                <w:bCs/>
                <w:kern w:val="24"/>
                <w:szCs w:val="21"/>
              </w:rPr>
              <w:t xml:space="preserve">Ⅰ </w:t>
            </w:r>
            <w:r>
              <w:rPr>
                <w:bCs/>
                <w:kern w:val="24"/>
                <w:szCs w:val="21"/>
              </w:rPr>
              <w:t>级基准值</w:t>
            </w:r>
          </w:p>
        </w:tc>
      </w:tr>
      <w:tr w:rsidR="00C72DBD">
        <w:trPr>
          <w:cantSplit/>
          <w:trHeight w:val="1134"/>
          <w:jc w:val="center"/>
        </w:trPr>
        <w:tc>
          <w:tcPr>
            <w:tcW w:w="4334" w:type="dxa"/>
            <w:vAlign w:val="center"/>
          </w:tcPr>
          <w:p w:rsidR="00C72DBD" w:rsidRDefault="00FC0A09">
            <w:pPr>
              <w:snapToGrid w:val="0"/>
              <w:ind w:left="480" w:hangingChars="200" w:hanging="480"/>
              <w:jc w:val="left"/>
              <w:rPr>
                <w:bCs/>
                <w:kern w:val="24"/>
                <w:sz w:val="24"/>
              </w:rPr>
            </w:pPr>
            <w:r>
              <w:rPr>
                <w:bCs/>
                <w:kern w:val="24"/>
                <w:sz w:val="24"/>
              </w:rPr>
              <w:t>6.</w:t>
            </w:r>
            <w:r>
              <w:rPr>
                <w:bCs/>
                <w:kern w:val="24"/>
                <w:sz w:val="24"/>
              </w:rPr>
              <w:t>烧结余热回收利用装备</w:t>
            </w:r>
          </w:p>
        </w:tc>
        <w:tc>
          <w:tcPr>
            <w:tcW w:w="4347" w:type="dxa"/>
            <w:vAlign w:val="center"/>
          </w:tcPr>
          <w:p w:rsidR="00C72DBD" w:rsidRDefault="00FC0A09">
            <w:pPr>
              <w:snapToGrid w:val="0"/>
              <w:jc w:val="left"/>
              <w:rPr>
                <w:bCs/>
                <w:kern w:val="24"/>
                <w:szCs w:val="21"/>
              </w:rPr>
            </w:pPr>
            <w:r>
              <w:rPr>
                <w:bCs/>
                <w:kern w:val="24"/>
                <w:szCs w:val="21"/>
              </w:rPr>
              <w:t>企业实际：建有烧结余热回收利用装置，余热回收量</w:t>
            </w:r>
            <w:r>
              <w:rPr>
                <w:bCs/>
                <w:kern w:val="24"/>
                <w:szCs w:val="21"/>
              </w:rPr>
              <w:t>6.75kgce/t</w:t>
            </w:r>
            <w:r>
              <w:rPr>
                <w:bCs/>
                <w:kern w:val="24"/>
                <w:szCs w:val="21"/>
              </w:rPr>
              <w:t>矿</w:t>
            </w:r>
          </w:p>
          <w:p w:rsidR="00C72DBD" w:rsidRDefault="00FC0A09">
            <w:pPr>
              <w:snapToGrid w:val="0"/>
              <w:jc w:val="left"/>
              <w:rPr>
                <w:bCs/>
                <w:kern w:val="24"/>
                <w:szCs w:val="21"/>
              </w:rPr>
            </w:pPr>
            <w:r>
              <w:rPr>
                <w:bCs/>
                <w:kern w:val="24"/>
                <w:szCs w:val="21"/>
              </w:rPr>
              <w:t>评价指标：</w:t>
            </w:r>
            <w:r>
              <w:rPr>
                <w:bCs/>
                <w:kern w:val="24"/>
                <w:szCs w:val="21"/>
              </w:rPr>
              <w:t xml:space="preserve">Ⅲ </w:t>
            </w:r>
            <w:r>
              <w:rPr>
                <w:bCs/>
                <w:kern w:val="24"/>
                <w:szCs w:val="21"/>
              </w:rPr>
              <w:t>级基准值</w:t>
            </w:r>
          </w:p>
        </w:tc>
      </w:tr>
      <w:tr w:rsidR="00C72DBD">
        <w:trPr>
          <w:cantSplit/>
          <w:trHeight w:val="1417"/>
          <w:jc w:val="center"/>
        </w:trPr>
        <w:tc>
          <w:tcPr>
            <w:tcW w:w="4334" w:type="dxa"/>
            <w:vAlign w:val="center"/>
          </w:tcPr>
          <w:p w:rsidR="00C72DBD" w:rsidRDefault="00FC0A09">
            <w:pPr>
              <w:snapToGrid w:val="0"/>
              <w:ind w:left="480" w:hangingChars="200" w:hanging="480"/>
              <w:jc w:val="left"/>
              <w:rPr>
                <w:bCs/>
                <w:kern w:val="24"/>
                <w:sz w:val="24"/>
              </w:rPr>
            </w:pPr>
            <w:r>
              <w:rPr>
                <w:bCs/>
                <w:kern w:val="24"/>
                <w:sz w:val="24"/>
              </w:rPr>
              <w:t>7.</w:t>
            </w:r>
            <w:r>
              <w:rPr>
                <w:bCs/>
                <w:kern w:val="24"/>
                <w:sz w:val="24"/>
              </w:rPr>
              <w:t>烧结烟气综合净化技术</w:t>
            </w:r>
          </w:p>
        </w:tc>
        <w:tc>
          <w:tcPr>
            <w:tcW w:w="4347" w:type="dxa"/>
            <w:vAlign w:val="center"/>
          </w:tcPr>
          <w:p w:rsidR="00C72DBD" w:rsidRDefault="00FC0A09">
            <w:pPr>
              <w:snapToGrid w:val="0"/>
              <w:jc w:val="left"/>
              <w:rPr>
                <w:szCs w:val="21"/>
              </w:rPr>
            </w:pPr>
            <w:r>
              <w:rPr>
                <w:bCs/>
                <w:kern w:val="24"/>
                <w:szCs w:val="21"/>
              </w:rPr>
              <w:t>企业实际：</w:t>
            </w:r>
            <w:r>
              <w:rPr>
                <w:szCs w:val="21"/>
              </w:rPr>
              <w:t>采用四电场静电除尘器</w:t>
            </w:r>
            <w:r>
              <w:rPr>
                <w:szCs w:val="21"/>
              </w:rPr>
              <w:t>+</w:t>
            </w:r>
            <w:r>
              <w:rPr>
                <w:szCs w:val="21"/>
              </w:rPr>
              <w:t>活性焦脱硫脱硝一体化设施，</w:t>
            </w:r>
            <w:r>
              <w:rPr>
                <w:rFonts w:hint="eastAsia"/>
                <w:szCs w:val="21"/>
              </w:rPr>
              <w:t>可实现</w:t>
            </w:r>
            <w:r>
              <w:rPr>
                <w:szCs w:val="21"/>
              </w:rPr>
              <w:t>协同处置重金属和二噁英等污染物。</w:t>
            </w:r>
          </w:p>
          <w:p w:rsidR="00C72DBD" w:rsidRDefault="00FC0A09">
            <w:pPr>
              <w:snapToGrid w:val="0"/>
              <w:jc w:val="left"/>
              <w:rPr>
                <w:szCs w:val="21"/>
              </w:rPr>
            </w:pPr>
            <w:r>
              <w:rPr>
                <w:bCs/>
                <w:kern w:val="24"/>
                <w:szCs w:val="21"/>
              </w:rPr>
              <w:t>评价指标：</w:t>
            </w:r>
            <w:r>
              <w:rPr>
                <w:bCs/>
                <w:kern w:val="24"/>
                <w:szCs w:val="21"/>
              </w:rPr>
              <w:t xml:space="preserve">Ⅰ </w:t>
            </w:r>
            <w:r>
              <w:rPr>
                <w:bCs/>
                <w:kern w:val="24"/>
                <w:szCs w:val="21"/>
              </w:rPr>
              <w:t>级基准值</w:t>
            </w:r>
          </w:p>
        </w:tc>
      </w:tr>
      <w:tr w:rsidR="00C72DBD">
        <w:trPr>
          <w:cantSplit/>
          <w:trHeight w:val="850"/>
          <w:jc w:val="center"/>
        </w:trPr>
        <w:tc>
          <w:tcPr>
            <w:tcW w:w="4334" w:type="dxa"/>
            <w:vAlign w:val="center"/>
          </w:tcPr>
          <w:p w:rsidR="00C72DBD" w:rsidRDefault="00FC0A09">
            <w:pPr>
              <w:snapToGrid w:val="0"/>
              <w:ind w:left="240" w:hangingChars="100" w:hanging="240"/>
              <w:jc w:val="left"/>
              <w:rPr>
                <w:bCs/>
                <w:kern w:val="24"/>
                <w:sz w:val="24"/>
              </w:rPr>
            </w:pPr>
            <w:r>
              <w:rPr>
                <w:bCs/>
                <w:kern w:val="24"/>
                <w:sz w:val="24"/>
              </w:rPr>
              <w:t>8.</w:t>
            </w:r>
            <w:r>
              <w:rPr>
                <w:bCs/>
                <w:kern w:val="24"/>
                <w:sz w:val="24"/>
              </w:rPr>
              <w:t>高炉煤气干法除尘装置配置率，</w:t>
            </w:r>
            <w:r>
              <w:rPr>
                <w:bCs/>
                <w:kern w:val="24"/>
                <w:sz w:val="24"/>
              </w:rPr>
              <w:t>%</w:t>
            </w:r>
          </w:p>
        </w:tc>
        <w:tc>
          <w:tcPr>
            <w:tcW w:w="4347" w:type="dxa"/>
            <w:vAlign w:val="center"/>
          </w:tcPr>
          <w:p w:rsidR="00C72DBD" w:rsidRDefault="00FC0A09">
            <w:pPr>
              <w:tabs>
                <w:tab w:val="center" w:pos="2065"/>
              </w:tabs>
              <w:snapToGrid w:val="0"/>
              <w:jc w:val="left"/>
              <w:rPr>
                <w:bCs/>
                <w:kern w:val="24"/>
                <w:szCs w:val="21"/>
              </w:rPr>
            </w:pPr>
            <w:r>
              <w:rPr>
                <w:bCs/>
                <w:kern w:val="24"/>
                <w:szCs w:val="21"/>
              </w:rPr>
              <w:t>企业实际：</w:t>
            </w:r>
            <w:r>
              <w:rPr>
                <w:bCs/>
                <w:kern w:val="24"/>
                <w:szCs w:val="21"/>
              </w:rPr>
              <w:t>100%</w:t>
            </w:r>
          </w:p>
          <w:p w:rsidR="00C72DBD" w:rsidRDefault="00FC0A09">
            <w:pPr>
              <w:tabs>
                <w:tab w:val="center" w:pos="2065"/>
              </w:tabs>
              <w:snapToGrid w:val="0"/>
              <w:jc w:val="left"/>
              <w:rPr>
                <w:bCs/>
                <w:kern w:val="24"/>
                <w:szCs w:val="21"/>
              </w:rPr>
            </w:pPr>
            <w:r>
              <w:rPr>
                <w:bCs/>
                <w:kern w:val="24"/>
                <w:szCs w:val="21"/>
              </w:rPr>
              <w:t>评价指标：</w:t>
            </w:r>
            <w:r>
              <w:rPr>
                <w:bCs/>
                <w:kern w:val="24"/>
                <w:szCs w:val="21"/>
              </w:rPr>
              <w:t xml:space="preserve">Ⅰ </w:t>
            </w:r>
            <w:r>
              <w:rPr>
                <w:bCs/>
                <w:kern w:val="24"/>
                <w:szCs w:val="21"/>
              </w:rPr>
              <w:t>级基准值</w:t>
            </w:r>
          </w:p>
        </w:tc>
      </w:tr>
      <w:tr w:rsidR="00C72DBD">
        <w:trPr>
          <w:cantSplit/>
          <w:trHeight w:val="1134"/>
          <w:jc w:val="center"/>
        </w:trPr>
        <w:tc>
          <w:tcPr>
            <w:tcW w:w="4334" w:type="dxa"/>
            <w:vAlign w:val="center"/>
          </w:tcPr>
          <w:p w:rsidR="00C72DBD" w:rsidRDefault="00FC0A09">
            <w:pPr>
              <w:snapToGrid w:val="0"/>
              <w:ind w:left="240" w:hangingChars="100" w:hanging="240"/>
              <w:jc w:val="left"/>
              <w:rPr>
                <w:bCs/>
                <w:kern w:val="24"/>
                <w:sz w:val="24"/>
              </w:rPr>
            </w:pPr>
            <w:r>
              <w:rPr>
                <w:bCs/>
                <w:kern w:val="24"/>
                <w:sz w:val="24"/>
              </w:rPr>
              <w:t>9.</w:t>
            </w:r>
            <w:r>
              <w:rPr>
                <w:bCs/>
                <w:kern w:val="24"/>
                <w:sz w:val="24"/>
              </w:rPr>
              <w:t>高炉炉顶煤气余压利用</w:t>
            </w:r>
            <w:r>
              <w:rPr>
                <w:bCs/>
                <w:kern w:val="24"/>
                <w:sz w:val="24"/>
              </w:rPr>
              <w:t>(TRT</w:t>
            </w:r>
            <w:r>
              <w:rPr>
                <w:bCs/>
                <w:kern w:val="24"/>
                <w:sz w:val="24"/>
              </w:rPr>
              <w:t>或</w:t>
            </w:r>
            <w:r>
              <w:rPr>
                <w:bCs/>
                <w:kern w:val="24"/>
                <w:sz w:val="24"/>
              </w:rPr>
              <w:t>BPRT)</w:t>
            </w:r>
            <w:r>
              <w:rPr>
                <w:bCs/>
                <w:kern w:val="24"/>
                <w:sz w:val="24"/>
              </w:rPr>
              <w:t>装置配置</w:t>
            </w:r>
          </w:p>
        </w:tc>
        <w:tc>
          <w:tcPr>
            <w:tcW w:w="4347" w:type="dxa"/>
            <w:vAlign w:val="center"/>
          </w:tcPr>
          <w:p w:rsidR="00C72DBD" w:rsidRDefault="00FC0A09">
            <w:pPr>
              <w:snapToGrid w:val="0"/>
              <w:jc w:val="left"/>
              <w:rPr>
                <w:bCs/>
                <w:kern w:val="24"/>
                <w:szCs w:val="21"/>
              </w:rPr>
            </w:pPr>
            <w:r>
              <w:rPr>
                <w:bCs/>
                <w:kern w:val="24"/>
                <w:szCs w:val="21"/>
              </w:rPr>
              <w:t>企业实际：三座高炉配置</w:t>
            </w:r>
            <w:r>
              <w:rPr>
                <w:bCs/>
                <w:kern w:val="24"/>
                <w:szCs w:val="21"/>
              </w:rPr>
              <w:t>2</w:t>
            </w:r>
            <w:r>
              <w:rPr>
                <w:bCs/>
                <w:kern w:val="24"/>
                <w:szCs w:val="21"/>
              </w:rPr>
              <w:t>套</w:t>
            </w:r>
            <w:r>
              <w:rPr>
                <w:bCs/>
                <w:kern w:val="24"/>
                <w:szCs w:val="21"/>
              </w:rPr>
              <w:t>BPRT</w:t>
            </w:r>
            <w:r>
              <w:rPr>
                <w:bCs/>
                <w:kern w:val="24"/>
                <w:szCs w:val="21"/>
              </w:rPr>
              <w:t>、</w:t>
            </w:r>
            <w:r>
              <w:rPr>
                <w:bCs/>
                <w:kern w:val="24"/>
                <w:szCs w:val="21"/>
              </w:rPr>
              <w:t>1</w:t>
            </w:r>
            <w:r>
              <w:rPr>
                <w:bCs/>
                <w:kern w:val="24"/>
                <w:szCs w:val="21"/>
              </w:rPr>
              <w:t>套</w:t>
            </w:r>
            <w:r>
              <w:rPr>
                <w:bCs/>
                <w:kern w:val="24"/>
                <w:szCs w:val="21"/>
              </w:rPr>
              <w:t>TRT</w:t>
            </w:r>
          </w:p>
          <w:p w:rsidR="00C72DBD" w:rsidRDefault="00FC0A09">
            <w:pPr>
              <w:snapToGrid w:val="0"/>
              <w:jc w:val="left"/>
              <w:rPr>
                <w:bCs/>
                <w:kern w:val="24"/>
                <w:szCs w:val="21"/>
              </w:rPr>
            </w:pPr>
            <w:r>
              <w:rPr>
                <w:bCs/>
                <w:kern w:val="24"/>
                <w:szCs w:val="21"/>
              </w:rPr>
              <w:t>，</w:t>
            </w:r>
            <w:r>
              <w:rPr>
                <w:bCs/>
                <w:kern w:val="24"/>
                <w:szCs w:val="21"/>
              </w:rPr>
              <w:t>BPRT</w:t>
            </w:r>
            <w:r>
              <w:rPr>
                <w:bCs/>
                <w:kern w:val="24"/>
                <w:szCs w:val="21"/>
              </w:rPr>
              <w:t>配置率</w:t>
            </w:r>
            <w:r>
              <w:rPr>
                <w:bCs/>
                <w:kern w:val="24"/>
                <w:szCs w:val="21"/>
              </w:rPr>
              <w:t>≥67.7%</w:t>
            </w:r>
            <w:r>
              <w:rPr>
                <w:bCs/>
                <w:kern w:val="24"/>
                <w:szCs w:val="21"/>
              </w:rPr>
              <w:t>，节电量</w:t>
            </w:r>
            <w:r>
              <w:rPr>
                <w:bCs/>
                <w:kern w:val="24"/>
                <w:szCs w:val="21"/>
              </w:rPr>
              <w:t>42%</w:t>
            </w:r>
          </w:p>
          <w:p w:rsidR="00C72DBD" w:rsidRDefault="00FC0A09">
            <w:pPr>
              <w:snapToGrid w:val="0"/>
              <w:jc w:val="left"/>
              <w:rPr>
                <w:bCs/>
                <w:kern w:val="24"/>
                <w:szCs w:val="21"/>
              </w:rPr>
            </w:pPr>
            <w:r>
              <w:rPr>
                <w:bCs/>
                <w:kern w:val="24"/>
                <w:szCs w:val="21"/>
              </w:rPr>
              <w:t>评价指标：</w:t>
            </w:r>
            <w:r>
              <w:rPr>
                <w:bCs/>
                <w:kern w:val="24"/>
                <w:szCs w:val="21"/>
              </w:rPr>
              <w:t xml:space="preserve">Ⅰ </w:t>
            </w:r>
            <w:r>
              <w:rPr>
                <w:bCs/>
                <w:kern w:val="24"/>
                <w:szCs w:val="21"/>
              </w:rPr>
              <w:t>级基准值</w:t>
            </w:r>
          </w:p>
        </w:tc>
      </w:tr>
      <w:tr w:rsidR="00C72DBD">
        <w:trPr>
          <w:cantSplit/>
          <w:trHeight w:val="1134"/>
          <w:jc w:val="center"/>
        </w:trPr>
        <w:tc>
          <w:tcPr>
            <w:tcW w:w="4334" w:type="dxa"/>
            <w:vAlign w:val="center"/>
          </w:tcPr>
          <w:p w:rsidR="00C72DBD" w:rsidRDefault="00FC0A09">
            <w:pPr>
              <w:snapToGrid w:val="0"/>
              <w:ind w:left="360" w:hangingChars="150" w:hanging="360"/>
              <w:jc w:val="left"/>
              <w:rPr>
                <w:bCs/>
                <w:kern w:val="24"/>
                <w:sz w:val="24"/>
              </w:rPr>
            </w:pPr>
            <w:r>
              <w:rPr>
                <w:bCs/>
                <w:kern w:val="24"/>
                <w:sz w:val="24"/>
              </w:rPr>
              <w:t>10.</w:t>
            </w:r>
            <w:r>
              <w:rPr>
                <w:bCs/>
                <w:kern w:val="24"/>
                <w:sz w:val="24"/>
              </w:rPr>
              <w:t>转炉煤气干法除尘装置配置</w:t>
            </w:r>
          </w:p>
        </w:tc>
        <w:tc>
          <w:tcPr>
            <w:tcW w:w="4347" w:type="dxa"/>
            <w:vAlign w:val="center"/>
          </w:tcPr>
          <w:p w:rsidR="00C72DBD" w:rsidRDefault="00FC0A09">
            <w:pPr>
              <w:snapToGrid w:val="0"/>
              <w:jc w:val="left"/>
              <w:rPr>
                <w:bCs/>
                <w:kern w:val="24"/>
                <w:szCs w:val="21"/>
              </w:rPr>
            </w:pPr>
            <w:r>
              <w:rPr>
                <w:bCs/>
                <w:kern w:val="24"/>
                <w:szCs w:val="21"/>
              </w:rPr>
              <w:t>企业实际：转炉一次配备</w:t>
            </w:r>
            <w:r>
              <w:rPr>
                <w:bCs/>
                <w:kern w:val="24"/>
                <w:szCs w:val="21"/>
              </w:rPr>
              <w:t>LT</w:t>
            </w:r>
            <w:r>
              <w:rPr>
                <w:bCs/>
                <w:kern w:val="24"/>
                <w:szCs w:val="21"/>
              </w:rPr>
              <w:t>干法除尘，配置率</w:t>
            </w:r>
            <w:r>
              <w:rPr>
                <w:bCs/>
                <w:kern w:val="24"/>
                <w:szCs w:val="21"/>
              </w:rPr>
              <w:t>100%</w:t>
            </w:r>
            <w:r>
              <w:rPr>
                <w:bCs/>
                <w:kern w:val="24"/>
                <w:szCs w:val="21"/>
              </w:rPr>
              <w:t>，出口颗粒物浓度</w:t>
            </w:r>
            <w:r>
              <w:rPr>
                <w:bCs/>
                <w:kern w:val="24"/>
                <w:szCs w:val="21"/>
              </w:rPr>
              <w:t>12.4mg/m</w:t>
            </w:r>
            <w:r>
              <w:rPr>
                <w:bCs/>
                <w:kern w:val="24"/>
                <w:szCs w:val="21"/>
                <w:vertAlign w:val="superscript"/>
              </w:rPr>
              <w:t>3</w:t>
            </w:r>
          </w:p>
          <w:p w:rsidR="00C72DBD" w:rsidRDefault="00FC0A09">
            <w:pPr>
              <w:snapToGrid w:val="0"/>
              <w:jc w:val="left"/>
              <w:rPr>
                <w:bCs/>
                <w:kern w:val="24"/>
                <w:szCs w:val="21"/>
              </w:rPr>
            </w:pPr>
            <w:r>
              <w:rPr>
                <w:bCs/>
                <w:kern w:val="24"/>
                <w:szCs w:val="21"/>
              </w:rPr>
              <w:t>评价指标：</w:t>
            </w:r>
            <w:r>
              <w:rPr>
                <w:bCs/>
                <w:kern w:val="24"/>
                <w:szCs w:val="21"/>
              </w:rPr>
              <w:t xml:space="preserve">Ⅰ </w:t>
            </w:r>
            <w:r>
              <w:rPr>
                <w:bCs/>
                <w:kern w:val="24"/>
                <w:szCs w:val="21"/>
              </w:rPr>
              <w:t>级基准值</w:t>
            </w:r>
          </w:p>
        </w:tc>
      </w:tr>
      <w:tr w:rsidR="00C72DBD">
        <w:trPr>
          <w:cantSplit/>
          <w:trHeight w:val="850"/>
          <w:jc w:val="center"/>
        </w:trPr>
        <w:tc>
          <w:tcPr>
            <w:tcW w:w="4334" w:type="dxa"/>
            <w:vAlign w:val="center"/>
          </w:tcPr>
          <w:p w:rsidR="00C72DBD" w:rsidRDefault="00FC0A09">
            <w:pPr>
              <w:snapToGrid w:val="0"/>
              <w:ind w:left="480" w:hangingChars="200" w:hanging="480"/>
              <w:jc w:val="left"/>
              <w:rPr>
                <w:bCs/>
                <w:kern w:val="24"/>
                <w:sz w:val="24"/>
              </w:rPr>
            </w:pPr>
            <w:r>
              <w:rPr>
                <w:bCs/>
                <w:kern w:val="24"/>
                <w:sz w:val="24"/>
              </w:rPr>
              <w:t>11.</w:t>
            </w:r>
            <w:r>
              <w:rPr>
                <w:bCs/>
                <w:kern w:val="24"/>
                <w:sz w:val="24"/>
              </w:rPr>
              <w:t>蓄热燃烧技术</w:t>
            </w:r>
          </w:p>
        </w:tc>
        <w:tc>
          <w:tcPr>
            <w:tcW w:w="4347" w:type="dxa"/>
            <w:vAlign w:val="center"/>
          </w:tcPr>
          <w:p w:rsidR="00C72DBD" w:rsidRDefault="00FC0A09">
            <w:pPr>
              <w:snapToGrid w:val="0"/>
              <w:jc w:val="left"/>
              <w:rPr>
                <w:bCs/>
                <w:kern w:val="24"/>
                <w:szCs w:val="21"/>
              </w:rPr>
            </w:pPr>
            <w:r>
              <w:rPr>
                <w:bCs/>
                <w:kern w:val="24"/>
                <w:szCs w:val="21"/>
              </w:rPr>
              <w:t>企业实际：炼铁、炼钢、轧钢均</w:t>
            </w:r>
            <w:r>
              <w:rPr>
                <w:rFonts w:hint="eastAsia"/>
                <w:bCs/>
                <w:kern w:val="24"/>
                <w:szCs w:val="21"/>
              </w:rPr>
              <w:t>利用该</w:t>
            </w:r>
            <w:r>
              <w:rPr>
                <w:bCs/>
                <w:kern w:val="24"/>
                <w:szCs w:val="21"/>
              </w:rPr>
              <w:t>技术</w:t>
            </w:r>
          </w:p>
          <w:p w:rsidR="00C72DBD" w:rsidRDefault="00FC0A09">
            <w:pPr>
              <w:snapToGrid w:val="0"/>
              <w:jc w:val="left"/>
              <w:rPr>
                <w:bCs/>
                <w:kern w:val="24"/>
                <w:szCs w:val="21"/>
              </w:rPr>
            </w:pPr>
            <w:r>
              <w:rPr>
                <w:bCs/>
                <w:kern w:val="24"/>
                <w:szCs w:val="21"/>
              </w:rPr>
              <w:t>评价指标：</w:t>
            </w:r>
            <w:r>
              <w:rPr>
                <w:bCs/>
                <w:kern w:val="24"/>
                <w:szCs w:val="21"/>
              </w:rPr>
              <w:t xml:space="preserve">Ⅰ </w:t>
            </w:r>
            <w:r>
              <w:rPr>
                <w:bCs/>
                <w:kern w:val="24"/>
                <w:szCs w:val="21"/>
              </w:rPr>
              <w:t>级基准值</w:t>
            </w:r>
          </w:p>
        </w:tc>
      </w:tr>
      <w:tr w:rsidR="00C72DBD">
        <w:trPr>
          <w:cantSplit/>
          <w:trHeight w:val="1134"/>
          <w:jc w:val="center"/>
        </w:trPr>
        <w:tc>
          <w:tcPr>
            <w:tcW w:w="4334" w:type="dxa"/>
            <w:vAlign w:val="center"/>
          </w:tcPr>
          <w:p w:rsidR="00C72DBD" w:rsidRDefault="00FC0A09">
            <w:pPr>
              <w:snapToGrid w:val="0"/>
              <w:ind w:left="480" w:hangingChars="200" w:hanging="480"/>
              <w:jc w:val="left"/>
              <w:rPr>
                <w:bCs/>
                <w:kern w:val="24"/>
                <w:sz w:val="24"/>
              </w:rPr>
            </w:pPr>
            <w:r>
              <w:rPr>
                <w:bCs/>
                <w:kern w:val="24"/>
                <w:sz w:val="24"/>
              </w:rPr>
              <w:t>12.</w:t>
            </w:r>
            <w:r>
              <w:rPr>
                <w:bCs/>
                <w:kern w:val="24"/>
                <w:sz w:val="24"/>
              </w:rPr>
              <w:t>全厂区污水集中处理设施</w:t>
            </w:r>
          </w:p>
        </w:tc>
        <w:tc>
          <w:tcPr>
            <w:tcW w:w="4347" w:type="dxa"/>
            <w:vAlign w:val="center"/>
          </w:tcPr>
          <w:p w:rsidR="00C72DBD" w:rsidRDefault="00FC0A09">
            <w:pPr>
              <w:snapToGrid w:val="0"/>
              <w:jc w:val="left"/>
              <w:rPr>
                <w:bCs/>
                <w:kern w:val="24"/>
                <w:szCs w:val="21"/>
              </w:rPr>
            </w:pPr>
            <w:r>
              <w:rPr>
                <w:bCs/>
                <w:kern w:val="24"/>
                <w:szCs w:val="21"/>
              </w:rPr>
              <w:t>企业实际：集中综合污水处理系统和生活污水处理系统回用率</w:t>
            </w:r>
            <w:r>
              <w:rPr>
                <w:bCs/>
                <w:kern w:val="24"/>
                <w:szCs w:val="21"/>
              </w:rPr>
              <w:t>100%</w:t>
            </w:r>
          </w:p>
          <w:p w:rsidR="00C72DBD" w:rsidRDefault="00FC0A09">
            <w:pPr>
              <w:snapToGrid w:val="0"/>
              <w:jc w:val="left"/>
              <w:rPr>
                <w:bCs/>
                <w:kern w:val="24"/>
                <w:szCs w:val="21"/>
              </w:rPr>
            </w:pPr>
            <w:r>
              <w:rPr>
                <w:bCs/>
                <w:kern w:val="24"/>
                <w:szCs w:val="21"/>
              </w:rPr>
              <w:t>评价指标：</w:t>
            </w:r>
            <w:r>
              <w:rPr>
                <w:bCs/>
                <w:kern w:val="24"/>
                <w:szCs w:val="21"/>
              </w:rPr>
              <w:t xml:space="preserve">Ⅰ </w:t>
            </w:r>
            <w:r>
              <w:rPr>
                <w:bCs/>
                <w:kern w:val="24"/>
                <w:szCs w:val="21"/>
              </w:rPr>
              <w:t>级基准值</w:t>
            </w:r>
          </w:p>
        </w:tc>
      </w:tr>
      <w:tr w:rsidR="00C72DBD">
        <w:trPr>
          <w:cantSplit/>
          <w:trHeight w:val="567"/>
          <w:jc w:val="center"/>
        </w:trPr>
        <w:tc>
          <w:tcPr>
            <w:tcW w:w="8681" w:type="dxa"/>
            <w:gridSpan w:val="2"/>
            <w:vAlign w:val="center"/>
          </w:tcPr>
          <w:p w:rsidR="00C72DBD" w:rsidRDefault="00FC0A09">
            <w:pPr>
              <w:snapToGrid w:val="0"/>
              <w:rPr>
                <w:bCs/>
                <w:kern w:val="24"/>
                <w:sz w:val="24"/>
              </w:rPr>
            </w:pPr>
            <w:r>
              <w:rPr>
                <w:bCs/>
                <w:kern w:val="24"/>
                <w:sz w:val="24"/>
              </w:rPr>
              <w:t>三、资源能源利用指标</w:t>
            </w:r>
          </w:p>
        </w:tc>
      </w:tr>
      <w:tr w:rsidR="00C72DBD">
        <w:trPr>
          <w:cantSplit/>
          <w:trHeight w:val="850"/>
          <w:jc w:val="center"/>
        </w:trPr>
        <w:tc>
          <w:tcPr>
            <w:tcW w:w="4334" w:type="dxa"/>
            <w:vAlign w:val="center"/>
          </w:tcPr>
          <w:p w:rsidR="00C72DBD" w:rsidRDefault="00FC0A09">
            <w:pPr>
              <w:snapToGrid w:val="0"/>
              <w:ind w:left="480" w:hangingChars="200" w:hanging="480"/>
              <w:jc w:val="left"/>
              <w:rPr>
                <w:bCs/>
                <w:kern w:val="24"/>
                <w:sz w:val="24"/>
              </w:rPr>
            </w:pPr>
            <w:r>
              <w:rPr>
                <w:bCs/>
                <w:kern w:val="24"/>
                <w:sz w:val="24"/>
              </w:rPr>
              <w:t>1.</w:t>
            </w:r>
            <w:r>
              <w:rPr>
                <w:bCs/>
                <w:kern w:val="24"/>
                <w:sz w:val="24"/>
              </w:rPr>
              <w:t>炼焦工序能耗，</w:t>
            </w:r>
            <w:r>
              <w:rPr>
                <w:bCs/>
                <w:kern w:val="24"/>
                <w:sz w:val="24"/>
              </w:rPr>
              <w:t>kgce/t</w:t>
            </w:r>
            <w:r>
              <w:rPr>
                <w:bCs/>
                <w:kern w:val="24"/>
                <w:sz w:val="24"/>
              </w:rPr>
              <w:t>焦</w:t>
            </w:r>
          </w:p>
        </w:tc>
        <w:tc>
          <w:tcPr>
            <w:tcW w:w="4347" w:type="dxa"/>
            <w:vAlign w:val="center"/>
          </w:tcPr>
          <w:p w:rsidR="00C72DBD" w:rsidRDefault="00FC0A09">
            <w:pPr>
              <w:snapToGrid w:val="0"/>
              <w:jc w:val="left"/>
              <w:rPr>
                <w:bCs/>
                <w:kern w:val="24"/>
                <w:szCs w:val="21"/>
              </w:rPr>
            </w:pPr>
            <w:r>
              <w:rPr>
                <w:bCs/>
                <w:kern w:val="24"/>
                <w:szCs w:val="21"/>
              </w:rPr>
              <w:t>企业实际：</w:t>
            </w:r>
            <w:r>
              <w:rPr>
                <w:bCs/>
                <w:kern w:val="24"/>
                <w:szCs w:val="21"/>
              </w:rPr>
              <w:t>1</w:t>
            </w:r>
            <w:r>
              <w:rPr>
                <w:rFonts w:hint="eastAsia"/>
                <w:bCs/>
                <w:kern w:val="24"/>
                <w:szCs w:val="21"/>
              </w:rPr>
              <w:t>01.91</w:t>
            </w:r>
            <w:r>
              <w:rPr>
                <w:bCs/>
                <w:kern w:val="24"/>
                <w:szCs w:val="21"/>
              </w:rPr>
              <w:t>kgce/t</w:t>
            </w:r>
          </w:p>
          <w:p w:rsidR="00C72DBD" w:rsidRDefault="00FC0A09">
            <w:pPr>
              <w:snapToGrid w:val="0"/>
              <w:jc w:val="left"/>
              <w:rPr>
                <w:bCs/>
                <w:kern w:val="24"/>
                <w:sz w:val="24"/>
              </w:rPr>
            </w:pPr>
            <w:r>
              <w:rPr>
                <w:bCs/>
                <w:kern w:val="24"/>
                <w:szCs w:val="21"/>
              </w:rPr>
              <w:t>评价指标：</w:t>
            </w:r>
            <w:r>
              <w:rPr>
                <w:bCs/>
                <w:kern w:val="24"/>
                <w:szCs w:val="21"/>
              </w:rPr>
              <w:t xml:space="preserve">Ⅰ </w:t>
            </w:r>
            <w:r>
              <w:rPr>
                <w:bCs/>
                <w:kern w:val="24"/>
                <w:szCs w:val="21"/>
              </w:rPr>
              <w:t>级基准值</w:t>
            </w:r>
          </w:p>
        </w:tc>
      </w:tr>
      <w:tr w:rsidR="00C72DBD">
        <w:trPr>
          <w:cantSplit/>
          <w:trHeight w:val="850"/>
          <w:jc w:val="center"/>
        </w:trPr>
        <w:tc>
          <w:tcPr>
            <w:tcW w:w="4334" w:type="dxa"/>
            <w:vAlign w:val="center"/>
          </w:tcPr>
          <w:p w:rsidR="00C72DBD" w:rsidRDefault="00FC0A09">
            <w:pPr>
              <w:snapToGrid w:val="0"/>
              <w:ind w:left="480" w:hangingChars="200" w:hanging="480"/>
              <w:jc w:val="left"/>
              <w:rPr>
                <w:bCs/>
                <w:kern w:val="24"/>
                <w:sz w:val="24"/>
              </w:rPr>
            </w:pPr>
            <w:r>
              <w:rPr>
                <w:bCs/>
                <w:kern w:val="24"/>
                <w:sz w:val="24"/>
              </w:rPr>
              <w:t>2.</w:t>
            </w:r>
            <w:r>
              <w:rPr>
                <w:bCs/>
                <w:kern w:val="24"/>
                <w:sz w:val="24"/>
              </w:rPr>
              <w:t>烧结工序能耗，</w:t>
            </w:r>
            <w:r>
              <w:rPr>
                <w:bCs/>
                <w:kern w:val="24"/>
                <w:sz w:val="24"/>
              </w:rPr>
              <w:t>kgce/t</w:t>
            </w:r>
            <w:r>
              <w:rPr>
                <w:bCs/>
                <w:kern w:val="24"/>
                <w:sz w:val="24"/>
              </w:rPr>
              <w:t>矿</w:t>
            </w:r>
          </w:p>
        </w:tc>
        <w:tc>
          <w:tcPr>
            <w:tcW w:w="4347" w:type="dxa"/>
            <w:vAlign w:val="center"/>
          </w:tcPr>
          <w:p w:rsidR="00C72DBD" w:rsidRDefault="00FC0A09">
            <w:pPr>
              <w:snapToGrid w:val="0"/>
              <w:jc w:val="left"/>
              <w:rPr>
                <w:bCs/>
                <w:kern w:val="24"/>
                <w:szCs w:val="21"/>
              </w:rPr>
            </w:pPr>
            <w:r>
              <w:rPr>
                <w:bCs/>
                <w:kern w:val="24"/>
                <w:szCs w:val="21"/>
              </w:rPr>
              <w:t>企业实际：</w:t>
            </w:r>
            <w:r>
              <w:rPr>
                <w:rFonts w:hint="eastAsia"/>
                <w:bCs/>
                <w:kern w:val="24"/>
                <w:szCs w:val="21"/>
              </w:rPr>
              <w:t>46.66</w:t>
            </w:r>
            <w:r>
              <w:rPr>
                <w:bCs/>
                <w:kern w:val="24"/>
                <w:szCs w:val="21"/>
              </w:rPr>
              <w:t>kgce/t</w:t>
            </w:r>
          </w:p>
          <w:p w:rsidR="00C72DBD" w:rsidRDefault="00FC0A09">
            <w:pPr>
              <w:widowControl/>
              <w:jc w:val="left"/>
              <w:rPr>
                <w:bCs/>
                <w:kern w:val="24"/>
                <w:sz w:val="24"/>
              </w:rPr>
            </w:pPr>
            <w:r>
              <w:rPr>
                <w:bCs/>
                <w:kern w:val="24"/>
                <w:szCs w:val="21"/>
              </w:rPr>
              <w:t>评价指标：</w:t>
            </w:r>
            <w:r>
              <w:rPr>
                <w:bCs/>
                <w:kern w:val="24"/>
                <w:szCs w:val="21"/>
              </w:rPr>
              <w:t xml:space="preserve">Ⅰ </w:t>
            </w:r>
            <w:r>
              <w:rPr>
                <w:bCs/>
                <w:kern w:val="24"/>
                <w:szCs w:val="21"/>
              </w:rPr>
              <w:t>级基准值</w:t>
            </w:r>
          </w:p>
        </w:tc>
      </w:tr>
      <w:tr w:rsidR="00C72DBD">
        <w:trPr>
          <w:cantSplit/>
          <w:trHeight w:val="850"/>
          <w:jc w:val="center"/>
        </w:trPr>
        <w:tc>
          <w:tcPr>
            <w:tcW w:w="4334" w:type="dxa"/>
            <w:vAlign w:val="center"/>
          </w:tcPr>
          <w:p w:rsidR="00C72DBD" w:rsidRDefault="00FC0A09">
            <w:pPr>
              <w:snapToGrid w:val="0"/>
              <w:ind w:left="480" w:hangingChars="200" w:hanging="480"/>
              <w:jc w:val="left"/>
              <w:rPr>
                <w:bCs/>
                <w:kern w:val="24"/>
                <w:sz w:val="24"/>
              </w:rPr>
            </w:pPr>
            <w:r>
              <w:rPr>
                <w:bCs/>
                <w:kern w:val="24"/>
                <w:sz w:val="24"/>
              </w:rPr>
              <w:t>3.</w:t>
            </w:r>
            <w:r>
              <w:rPr>
                <w:bCs/>
                <w:kern w:val="24"/>
                <w:sz w:val="24"/>
              </w:rPr>
              <w:t>球团工序能耗，</w:t>
            </w:r>
            <w:r>
              <w:rPr>
                <w:bCs/>
                <w:kern w:val="24"/>
                <w:sz w:val="24"/>
              </w:rPr>
              <w:t>kgce/t</w:t>
            </w:r>
            <w:r>
              <w:rPr>
                <w:bCs/>
                <w:kern w:val="24"/>
                <w:sz w:val="24"/>
              </w:rPr>
              <w:t>矿</w:t>
            </w:r>
          </w:p>
        </w:tc>
        <w:tc>
          <w:tcPr>
            <w:tcW w:w="4347" w:type="dxa"/>
            <w:vAlign w:val="center"/>
          </w:tcPr>
          <w:p w:rsidR="00C72DBD" w:rsidRDefault="00FC0A09">
            <w:pPr>
              <w:snapToGrid w:val="0"/>
              <w:jc w:val="left"/>
              <w:rPr>
                <w:bCs/>
                <w:kern w:val="24"/>
                <w:szCs w:val="21"/>
              </w:rPr>
            </w:pPr>
            <w:r>
              <w:rPr>
                <w:bCs/>
                <w:kern w:val="24"/>
                <w:szCs w:val="21"/>
              </w:rPr>
              <w:t>企业实际：</w:t>
            </w:r>
            <w:r>
              <w:rPr>
                <w:rFonts w:hint="eastAsia"/>
                <w:bCs/>
                <w:kern w:val="24"/>
                <w:szCs w:val="21"/>
              </w:rPr>
              <w:t>28.14</w:t>
            </w:r>
            <w:r>
              <w:rPr>
                <w:bCs/>
                <w:kern w:val="24"/>
                <w:szCs w:val="21"/>
              </w:rPr>
              <w:t>kgce/t</w:t>
            </w:r>
          </w:p>
          <w:p w:rsidR="00C72DBD" w:rsidRDefault="00FC0A09">
            <w:pPr>
              <w:widowControl/>
              <w:jc w:val="left"/>
              <w:rPr>
                <w:bCs/>
                <w:kern w:val="24"/>
                <w:sz w:val="24"/>
              </w:rPr>
            </w:pPr>
            <w:r>
              <w:rPr>
                <w:bCs/>
                <w:kern w:val="24"/>
                <w:szCs w:val="21"/>
              </w:rPr>
              <w:t>评价指标：</w:t>
            </w:r>
            <w:r>
              <w:rPr>
                <w:bCs/>
                <w:kern w:val="24"/>
                <w:szCs w:val="21"/>
              </w:rPr>
              <w:t xml:space="preserve">Ⅲ </w:t>
            </w:r>
            <w:r>
              <w:rPr>
                <w:bCs/>
                <w:kern w:val="24"/>
                <w:szCs w:val="21"/>
              </w:rPr>
              <w:t>级基准值</w:t>
            </w:r>
          </w:p>
        </w:tc>
      </w:tr>
      <w:tr w:rsidR="00C72DBD">
        <w:trPr>
          <w:cantSplit/>
          <w:trHeight w:val="850"/>
          <w:jc w:val="center"/>
        </w:trPr>
        <w:tc>
          <w:tcPr>
            <w:tcW w:w="4334" w:type="dxa"/>
            <w:vAlign w:val="center"/>
          </w:tcPr>
          <w:p w:rsidR="00C72DBD" w:rsidRDefault="00FC0A09">
            <w:pPr>
              <w:snapToGrid w:val="0"/>
              <w:ind w:left="480" w:hangingChars="200" w:hanging="480"/>
              <w:jc w:val="left"/>
              <w:rPr>
                <w:bCs/>
                <w:kern w:val="24"/>
                <w:sz w:val="24"/>
              </w:rPr>
            </w:pPr>
            <w:r>
              <w:rPr>
                <w:bCs/>
                <w:kern w:val="24"/>
                <w:sz w:val="24"/>
              </w:rPr>
              <w:t>4.</w:t>
            </w:r>
            <w:r>
              <w:rPr>
                <w:bCs/>
                <w:kern w:val="24"/>
                <w:sz w:val="24"/>
              </w:rPr>
              <w:t>炼铁工序能耗，</w:t>
            </w:r>
            <w:r>
              <w:rPr>
                <w:bCs/>
                <w:kern w:val="24"/>
                <w:sz w:val="24"/>
              </w:rPr>
              <w:t>kgce/t</w:t>
            </w:r>
            <w:r>
              <w:rPr>
                <w:bCs/>
                <w:kern w:val="24"/>
                <w:sz w:val="24"/>
              </w:rPr>
              <w:t>铁</w:t>
            </w:r>
            <w:r>
              <w:rPr>
                <w:bCs/>
                <w:kern w:val="24"/>
                <w:sz w:val="24"/>
              </w:rPr>
              <w:t>*</w:t>
            </w:r>
          </w:p>
        </w:tc>
        <w:tc>
          <w:tcPr>
            <w:tcW w:w="4347" w:type="dxa"/>
            <w:vAlign w:val="center"/>
          </w:tcPr>
          <w:p w:rsidR="00C72DBD" w:rsidRDefault="00FC0A09">
            <w:pPr>
              <w:snapToGrid w:val="0"/>
              <w:jc w:val="left"/>
              <w:rPr>
                <w:bCs/>
                <w:kern w:val="24"/>
                <w:szCs w:val="21"/>
              </w:rPr>
            </w:pPr>
            <w:r>
              <w:rPr>
                <w:bCs/>
                <w:kern w:val="24"/>
                <w:szCs w:val="21"/>
              </w:rPr>
              <w:t>企业实际：</w:t>
            </w:r>
            <w:r>
              <w:rPr>
                <w:bCs/>
                <w:kern w:val="24"/>
                <w:szCs w:val="21"/>
              </w:rPr>
              <w:t>378.</w:t>
            </w:r>
            <w:r>
              <w:rPr>
                <w:rFonts w:hint="eastAsia"/>
                <w:bCs/>
                <w:kern w:val="24"/>
                <w:szCs w:val="21"/>
              </w:rPr>
              <w:t>62</w:t>
            </w:r>
            <w:r>
              <w:rPr>
                <w:bCs/>
                <w:kern w:val="24"/>
                <w:szCs w:val="21"/>
              </w:rPr>
              <w:t>kgce/t</w:t>
            </w:r>
          </w:p>
          <w:p w:rsidR="00C72DBD" w:rsidRDefault="00FC0A09">
            <w:pPr>
              <w:snapToGrid w:val="0"/>
              <w:jc w:val="left"/>
              <w:rPr>
                <w:bCs/>
                <w:kern w:val="24"/>
                <w:sz w:val="24"/>
              </w:rPr>
            </w:pPr>
            <w:r>
              <w:rPr>
                <w:bCs/>
                <w:kern w:val="24"/>
                <w:szCs w:val="21"/>
              </w:rPr>
              <w:t>评价指标：</w:t>
            </w:r>
            <w:r>
              <w:rPr>
                <w:bCs/>
                <w:kern w:val="24"/>
                <w:szCs w:val="21"/>
              </w:rPr>
              <w:t xml:space="preserve">Ⅰ </w:t>
            </w:r>
            <w:r>
              <w:rPr>
                <w:bCs/>
                <w:kern w:val="24"/>
                <w:szCs w:val="21"/>
              </w:rPr>
              <w:t>级基准值</w:t>
            </w:r>
          </w:p>
        </w:tc>
      </w:tr>
      <w:tr w:rsidR="00C72DBD">
        <w:trPr>
          <w:cantSplit/>
          <w:trHeight w:val="850"/>
          <w:jc w:val="center"/>
        </w:trPr>
        <w:tc>
          <w:tcPr>
            <w:tcW w:w="4334" w:type="dxa"/>
            <w:vAlign w:val="center"/>
          </w:tcPr>
          <w:p w:rsidR="00C72DBD" w:rsidRDefault="00FC0A09">
            <w:pPr>
              <w:snapToGrid w:val="0"/>
              <w:ind w:left="480" w:hangingChars="200" w:hanging="480"/>
              <w:jc w:val="left"/>
              <w:rPr>
                <w:bCs/>
                <w:kern w:val="24"/>
                <w:sz w:val="24"/>
              </w:rPr>
            </w:pPr>
            <w:r>
              <w:rPr>
                <w:bCs/>
                <w:kern w:val="24"/>
                <w:sz w:val="24"/>
              </w:rPr>
              <w:t>5.</w:t>
            </w:r>
            <w:r>
              <w:rPr>
                <w:bCs/>
                <w:kern w:val="24"/>
                <w:sz w:val="24"/>
              </w:rPr>
              <w:t>高炉燃料比，</w:t>
            </w:r>
            <w:r>
              <w:rPr>
                <w:bCs/>
                <w:kern w:val="24"/>
                <w:sz w:val="24"/>
              </w:rPr>
              <w:t>kg/t</w:t>
            </w:r>
            <w:r>
              <w:rPr>
                <w:bCs/>
                <w:kern w:val="24"/>
                <w:sz w:val="24"/>
              </w:rPr>
              <w:t>铁</w:t>
            </w:r>
          </w:p>
        </w:tc>
        <w:tc>
          <w:tcPr>
            <w:tcW w:w="4347" w:type="dxa"/>
            <w:vAlign w:val="center"/>
          </w:tcPr>
          <w:p w:rsidR="00C72DBD" w:rsidRDefault="00FC0A09">
            <w:pPr>
              <w:snapToGrid w:val="0"/>
              <w:jc w:val="left"/>
              <w:rPr>
                <w:bCs/>
                <w:kern w:val="24"/>
                <w:szCs w:val="21"/>
              </w:rPr>
            </w:pPr>
            <w:r>
              <w:rPr>
                <w:bCs/>
                <w:kern w:val="24"/>
                <w:szCs w:val="21"/>
              </w:rPr>
              <w:t>企业实际：</w:t>
            </w:r>
            <w:r>
              <w:rPr>
                <w:bCs/>
                <w:kern w:val="24"/>
                <w:szCs w:val="21"/>
              </w:rPr>
              <w:t>513.77kg/t</w:t>
            </w:r>
          </w:p>
          <w:p w:rsidR="00C72DBD" w:rsidRDefault="00FC0A09">
            <w:pPr>
              <w:widowControl/>
              <w:jc w:val="left"/>
              <w:rPr>
                <w:bCs/>
                <w:kern w:val="24"/>
                <w:sz w:val="24"/>
              </w:rPr>
            </w:pPr>
            <w:r>
              <w:rPr>
                <w:bCs/>
                <w:kern w:val="24"/>
                <w:szCs w:val="21"/>
              </w:rPr>
              <w:t>评价指标：</w:t>
            </w:r>
            <w:r>
              <w:rPr>
                <w:rFonts w:eastAsia="新宋体"/>
                <w:color w:val="000000"/>
                <w:kern w:val="0"/>
                <w:szCs w:val="21"/>
                <w:lang w:bidi="ar"/>
              </w:rPr>
              <w:t xml:space="preserve">Ⅱ </w:t>
            </w:r>
            <w:r>
              <w:rPr>
                <w:color w:val="000000"/>
                <w:kern w:val="0"/>
                <w:szCs w:val="21"/>
                <w:lang w:bidi="ar"/>
              </w:rPr>
              <w:t>级基准值</w:t>
            </w:r>
          </w:p>
        </w:tc>
      </w:tr>
      <w:tr w:rsidR="00C72DBD">
        <w:trPr>
          <w:cantSplit/>
          <w:trHeight w:val="850"/>
          <w:jc w:val="center"/>
        </w:trPr>
        <w:tc>
          <w:tcPr>
            <w:tcW w:w="4334" w:type="dxa"/>
            <w:vAlign w:val="center"/>
          </w:tcPr>
          <w:p w:rsidR="00C72DBD" w:rsidRDefault="00FC0A09">
            <w:pPr>
              <w:snapToGrid w:val="0"/>
              <w:ind w:left="480" w:hangingChars="200" w:hanging="480"/>
              <w:jc w:val="left"/>
              <w:rPr>
                <w:bCs/>
                <w:kern w:val="24"/>
                <w:sz w:val="24"/>
              </w:rPr>
            </w:pPr>
            <w:r>
              <w:rPr>
                <w:bCs/>
                <w:kern w:val="24"/>
                <w:sz w:val="24"/>
              </w:rPr>
              <w:t>6.</w:t>
            </w:r>
            <w:r>
              <w:rPr>
                <w:bCs/>
                <w:kern w:val="24"/>
                <w:sz w:val="24"/>
              </w:rPr>
              <w:t>热风炉风温，</w:t>
            </w:r>
            <w:r>
              <w:rPr>
                <w:bCs/>
                <w:kern w:val="24"/>
                <w:sz w:val="24"/>
              </w:rPr>
              <w:t>℃</w:t>
            </w:r>
          </w:p>
        </w:tc>
        <w:tc>
          <w:tcPr>
            <w:tcW w:w="4347" w:type="dxa"/>
            <w:vAlign w:val="center"/>
          </w:tcPr>
          <w:p w:rsidR="00C72DBD" w:rsidRDefault="00FC0A09">
            <w:pPr>
              <w:snapToGrid w:val="0"/>
              <w:jc w:val="left"/>
              <w:rPr>
                <w:bCs/>
                <w:kern w:val="24"/>
                <w:szCs w:val="21"/>
              </w:rPr>
            </w:pPr>
            <w:r>
              <w:rPr>
                <w:bCs/>
                <w:kern w:val="24"/>
                <w:szCs w:val="21"/>
              </w:rPr>
              <w:t>企业实际：</w:t>
            </w:r>
            <w:r>
              <w:rPr>
                <w:bCs/>
                <w:kern w:val="24"/>
                <w:szCs w:val="21"/>
              </w:rPr>
              <w:t>1210</w:t>
            </w:r>
            <w:r>
              <w:rPr>
                <w:bCs/>
                <w:kern w:val="24"/>
                <w:sz w:val="24"/>
              </w:rPr>
              <w:t>℃</w:t>
            </w:r>
          </w:p>
          <w:p w:rsidR="00C72DBD" w:rsidRDefault="00FC0A09">
            <w:pPr>
              <w:widowControl/>
              <w:jc w:val="left"/>
              <w:rPr>
                <w:bCs/>
                <w:kern w:val="24"/>
                <w:sz w:val="24"/>
              </w:rPr>
            </w:pPr>
            <w:r>
              <w:rPr>
                <w:bCs/>
                <w:kern w:val="24"/>
                <w:szCs w:val="21"/>
              </w:rPr>
              <w:t>评价指标：</w:t>
            </w:r>
            <w:r>
              <w:rPr>
                <w:rFonts w:eastAsia="新宋体"/>
                <w:color w:val="000000"/>
                <w:kern w:val="0"/>
                <w:szCs w:val="21"/>
                <w:lang w:bidi="ar"/>
              </w:rPr>
              <w:t xml:space="preserve">Ⅱ </w:t>
            </w:r>
            <w:r>
              <w:rPr>
                <w:color w:val="000000"/>
                <w:kern w:val="0"/>
                <w:szCs w:val="21"/>
                <w:lang w:bidi="ar"/>
              </w:rPr>
              <w:t>级基准值</w:t>
            </w:r>
          </w:p>
        </w:tc>
      </w:tr>
      <w:tr w:rsidR="00C72DBD">
        <w:trPr>
          <w:cantSplit/>
          <w:trHeight w:val="850"/>
          <w:jc w:val="center"/>
        </w:trPr>
        <w:tc>
          <w:tcPr>
            <w:tcW w:w="4334" w:type="dxa"/>
            <w:vAlign w:val="center"/>
          </w:tcPr>
          <w:p w:rsidR="00C72DBD" w:rsidRDefault="00FC0A09">
            <w:pPr>
              <w:snapToGrid w:val="0"/>
              <w:ind w:left="240" w:hangingChars="100" w:hanging="240"/>
              <w:jc w:val="left"/>
              <w:rPr>
                <w:bCs/>
                <w:kern w:val="24"/>
                <w:sz w:val="24"/>
              </w:rPr>
            </w:pPr>
            <w:r>
              <w:rPr>
                <w:bCs/>
                <w:kern w:val="24"/>
                <w:sz w:val="24"/>
              </w:rPr>
              <w:t>7.</w:t>
            </w:r>
            <w:r>
              <w:rPr>
                <w:bCs/>
                <w:kern w:val="24"/>
                <w:sz w:val="24"/>
              </w:rPr>
              <w:t>转炉炼钢工序能耗，</w:t>
            </w:r>
            <w:r>
              <w:rPr>
                <w:bCs/>
                <w:kern w:val="24"/>
                <w:sz w:val="24"/>
              </w:rPr>
              <w:t>kgce/t</w:t>
            </w:r>
            <w:r>
              <w:rPr>
                <w:bCs/>
                <w:kern w:val="24"/>
                <w:sz w:val="24"/>
              </w:rPr>
              <w:t>钢</w:t>
            </w:r>
          </w:p>
        </w:tc>
        <w:tc>
          <w:tcPr>
            <w:tcW w:w="4347" w:type="dxa"/>
            <w:vAlign w:val="center"/>
          </w:tcPr>
          <w:p w:rsidR="00C72DBD" w:rsidRDefault="00FC0A09">
            <w:pPr>
              <w:snapToGrid w:val="0"/>
              <w:jc w:val="left"/>
              <w:rPr>
                <w:bCs/>
                <w:kern w:val="24"/>
                <w:szCs w:val="21"/>
              </w:rPr>
            </w:pPr>
            <w:r>
              <w:rPr>
                <w:bCs/>
                <w:kern w:val="24"/>
                <w:szCs w:val="21"/>
              </w:rPr>
              <w:t>企业实际：</w:t>
            </w:r>
            <w:r>
              <w:rPr>
                <w:bCs/>
                <w:kern w:val="24"/>
                <w:szCs w:val="21"/>
              </w:rPr>
              <w:t>-32.15kgce/t</w:t>
            </w:r>
          </w:p>
          <w:p w:rsidR="00C72DBD" w:rsidRDefault="00FC0A09">
            <w:pPr>
              <w:snapToGrid w:val="0"/>
              <w:rPr>
                <w:bCs/>
                <w:kern w:val="24"/>
                <w:sz w:val="24"/>
              </w:rPr>
            </w:pPr>
            <w:r>
              <w:rPr>
                <w:bCs/>
                <w:kern w:val="24"/>
                <w:szCs w:val="21"/>
              </w:rPr>
              <w:t>评价指标：</w:t>
            </w:r>
            <w:r>
              <w:rPr>
                <w:bCs/>
                <w:kern w:val="24"/>
                <w:szCs w:val="21"/>
              </w:rPr>
              <w:t xml:space="preserve">Ⅰ </w:t>
            </w:r>
            <w:r>
              <w:rPr>
                <w:bCs/>
                <w:kern w:val="24"/>
                <w:szCs w:val="21"/>
              </w:rPr>
              <w:t>级基准值</w:t>
            </w:r>
          </w:p>
        </w:tc>
      </w:tr>
      <w:tr w:rsidR="00C72DBD">
        <w:trPr>
          <w:cantSplit/>
          <w:trHeight w:val="850"/>
          <w:jc w:val="center"/>
        </w:trPr>
        <w:tc>
          <w:tcPr>
            <w:tcW w:w="4334" w:type="dxa"/>
            <w:vAlign w:val="center"/>
          </w:tcPr>
          <w:p w:rsidR="00C72DBD" w:rsidRDefault="00FC0A09">
            <w:pPr>
              <w:snapToGrid w:val="0"/>
              <w:ind w:left="480" w:hangingChars="200" w:hanging="480"/>
              <w:jc w:val="left"/>
              <w:rPr>
                <w:bCs/>
                <w:kern w:val="24"/>
                <w:sz w:val="24"/>
              </w:rPr>
            </w:pPr>
            <w:r>
              <w:rPr>
                <w:bCs/>
                <w:kern w:val="24"/>
                <w:sz w:val="24"/>
              </w:rPr>
              <w:t>8.</w:t>
            </w:r>
            <w:r>
              <w:rPr>
                <w:bCs/>
                <w:kern w:val="24"/>
                <w:sz w:val="24"/>
              </w:rPr>
              <w:t>转炉炼钢钢铁料消耗，</w:t>
            </w:r>
            <w:r>
              <w:rPr>
                <w:bCs/>
                <w:kern w:val="24"/>
                <w:sz w:val="24"/>
              </w:rPr>
              <w:t>kg/t</w:t>
            </w:r>
          </w:p>
        </w:tc>
        <w:tc>
          <w:tcPr>
            <w:tcW w:w="4347" w:type="dxa"/>
            <w:vAlign w:val="center"/>
          </w:tcPr>
          <w:p w:rsidR="00C72DBD" w:rsidRDefault="00FC0A09">
            <w:pPr>
              <w:snapToGrid w:val="0"/>
              <w:jc w:val="left"/>
              <w:rPr>
                <w:bCs/>
                <w:kern w:val="24"/>
                <w:szCs w:val="21"/>
              </w:rPr>
            </w:pPr>
            <w:r>
              <w:rPr>
                <w:bCs/>
                <w:kern w:val="24"/>
                <w:szCs w:val="21"/>
              </w:rPr>
              <w:t>企业实际：</w:t>
            </w:r>
            <w:r>
              <w:rPr>
                <w:bCs/>
                <w:kern w:val="24"/>
                <w:szCs w:val="21"/>
              </w:rPr>
              <w:t>1040kg/t</w:t>
            </w:r>
          </w:p>
          <w:p w:rsidR="00C72DBD" w:rsidRDefault="00FC0A09">
            <w:pPr>
              <w:snapToGrid w:val="0"/>
              <w:jc w:val="left"/>
              <w:rPr>
                <w:bCs/>
                <w:kern w:val="24"/>
                <w:sz w:val="24"/>
              </w:rPr>
            </w:pPr>
            <w:r>
              <w:rPr>
                <w:bCs/>
                <w:kern w:val="24"/>
                <w:szCs w:val="21"/>
              </w:rPr>
              <w:t>评价指标：</w:t>
            </w:r>
            <w:r>
              <w:rPr>
                <w:bCs/>
                <w:kern w:val="24"/>
                <w:szCs w:val="21"/>
              </w:rPr>
              <w:t xml:space="preserve">Ⅰ </w:t>
            </w:r>
            <w:r>
              <w:rPr>
                <w:bCs/>
                <w:kern w:val="24"/>
                <w:szCs w:val="21"/>
              </w:rPr>
              <w:t>级基准值</w:t>
            </w:r>
          </w:p>
        </w:tc>
      </w:tr>
      <w:tr w:rsidR="00C72DBD">
        <w:trPr>
          <w:cantSplit/>
          <w:trHeight w:val="850"/>
          <w:jc w:val="center"/>
        </w:trPr>
        <w:tc>
          <w:tcPr>
            <w:tcW w:w="4334" w:type="dxa"/>
            <w:vAlign w:val="center"/>
          </w:tcPr>
          <w:p w:rsidR="00C72DBD" w:rsidRDefault="00FC0A09">
            <w:pPr>
              <w:snapToGrid w:val="0"/>
              <w:ind w:left="240" w:hangingChars="100" w:hanging="240"/>
              <w:jc w:val="left"/>
              <w:rPr>
                <w:bCs/>
                <w:kern w:val="24"/>
                <w:sz w:val="24"/>
              </w:rPr>
            </w:pPr>
            <w:r>
              <w:rPr>
                <w:bCs/>
                <w:kern w:val="24"/>
                <w:sz w:val="24"/>
              </w:rPr>
              <w:t>9.</w:t>
            </w:r>
            <w:r>
              <w:rPr>
                <w:bCs/>
                <w:kern w:val="24"/>
                <w:sz w:val="24"/>
              </w:rPr>
              <w:t>生产用新鲜水量，</w:t>
            </w:r>
            <w:r>
              <w:rPr>
                <w:bCs/>
                <w:kern w:val="24"/>
                <w:sz w:val="24"/>
              </w:rPr>
              <w:t>m</w:t>
            </w:r>
            <w:r>
              <w:rPr>
                <w:bCs/>
                <w:kern w:val="24"/>
                <w:sz w:val="24"/>
                <w:vertAlign w:val="superscript"/>
              </w:rPr>
              <w:t>3</w:t>
            </w:r>
            <w:r>
              <w:rPr>
                <w:bCs/>
                <w:kern w:val="24"/>
                <w:sz w:val="24"/>
              </w:rPr>
              <w:t>水</w:t>
            </w:r>
            <w:r>
              <w:rPr>
                <w:bCs/>
                <w:kern w:val="24"/>
                <w:sz w:val="24"/>
              </w:rPr>
              <w:t>/t</w:t>
            </w:r>
            <w:r>
              <w:rPr>
                <w:bCs/>
                <w:kern w:val="24"/>
                <w:sz w:val="24"/>
              </w:rPr>
              <w:t>钢</w:t>
            </w:r>
            <w:r>
              <w:rPr>
                <w:bCs/>
                <w:kern w:val="24"/>
                <w:sz w:val="24"/>
              </w:rPr>
              <w:t>*</w:t>
            </w:r>
          </w:p>
        </w:tc>
        <w:tc>
          <w:tcPr>
            <w:tcW w:w="4347" w:type="dxa"/>
            <w:vAlign w:val="center"/>
          </w:tcPr>
          <w:p w:rsidR="00C72DBD" w:rsidRDefault="00FC0A09">
            <w:pPr>
              <w:snapToGrid w:val="0"/>
              <w:jc w:val="left"/>
              <w:rPr>
                <w:bCs/>
                <w:kern w:val="24"/>
                <w:szCs w:val="21"/>
              </w:rPr>
            </w:pPr>
            <w:r>
              <w:rPr>
                <w:bCs/>
                <w:kern w:val="24"/>
                <w:szCs w:val="21"/>
              </w:rPr>
              <w:t>企业实际：</w:t>
            </w:r>
            <w:r>
              <w:rPr>
                <w:bCs/>
                <w:kern w:val="24"/>
                <w:szCs w:val="21"/>
              </w:rPr>
              <w:t>1.61kgce/t</w:t>
            </w:r>
          </w:p>
          <w:p w:rsidR="00C72DBD" w:rsidRDefault="00FC0A09">
            <w:pPr>
              <w:snapToGrid w:val="0"/>
              <w:jc w:val="left"/>
              <w:rPr>
                <w:bCs/>
                <w:kern w:val="24"/>
                <w:sz w:val="24"/>
              </w:rPr>
            </w:pPr>
            <w:r>
              <w:rPr>
                <w:bCs/>
                <w:kern w:val="24"/>
                <w:szCs w:val="21"/>
              </w:rPr>
              <w:t>评价指标：</w:t>
            </w:r>
            <w:r>
              <w:rPr>
                <w:bCs/>
                <w:kern w:val="24"/>
                <w:szCs w:val="21"/>
              </w:rPr>
              <w:t xml:space="preserve">Ⅰ </w:t>
            </w:r>
            <w:r>
              <w:rPr>
                <w:bCs/>
                <w:kern w:val="24"/>
                <w:szCs w:val="21"/>
              </w:rPr>
              <w:t>级基准值</w:t>
            </w:r>
          </w:p>
        </w:tc>
      </w:tr>
      <w:tr w:rsidR="00C72DBD">
        <w:trPr>
          <w:cantSplit/>
          <w:trHeight w:val="850"/>
          <w:jc w:val="center"/>
        </w:trPr>
        <w:tc>
          <w:tcPr>
            <w:tcW w:w="4334" w:type="dxa"/>
            <w:vAlign w:val="center"/>
          </w:tcPr>
          <w:p w:rsidR="00C72DBD" w:rsidRDefault="00FC0A09">
            <w:pPr>
              <w:snapToGrid w:val="0"/>
              <w:ind w:left="360" w:hangingChars="150" w:hanging="360"/>
              <w:jc w:val="left"/>
              <w:rPr>
                <w:kern w:val="24"/>
                <w:sz w:val="24"/>
              </w:rPr>
            </w:pPr>
            <w:r>
              <w:rPr>
                <w:bCs/>
                <w:kern w:val="24"/>
                <w:sz w:val="24"/>
              </w:rPr>
              <w:t>10.</w:t>
            </w:r>
            <w:r>
              <w:rPr>
                <w:bCs/>
                <w:kern w:val="24"/>
                <w:sz w:val="24"/>
              </w:rPr>
              <w:t>二次能源发电量占总耗电量比率，</w:t>
            </w:r>
            <w:r>
              <w:rPr>
                <w:bCs/>
                <w:kern w:val="24"/>
                <w:sz w:val="24"/>
              </w:rPr>
              <w:t>%</w:t>
            </w:r>
          </w:p>
        </w:tc>
        <w:tc>
          <w:tcPr>
            <w:tcW w:w="4347" w:type="dxa"/>
            <w:vAlign w:val="center"/>
          </w:tcPr>
          <w:p w:rsidR="00C72DBD" w:rsidRDefault="00FC0A09">
            <w:pPr>
              <w:snapToGrid w:val="0"/>
              <w:jc w:val="left"/>
              <w:rPr>
                <w:bCs/>
                <w:kern w:val="24"/>
                <w:szCs w:val="21"/>
              </w:rPr>
            </w:pPr>
            <w:r>
              <w:rPr>
                <w:bCs/>
                <w:kern w:val="24"/>
                <w:szCs w:val="21"/>
              </w:rPr>
              <w:t>企业实际：</w:t>
            </w:r>
            <w:r>
              <w:rPr>
                <w:bCs/>
                <w:kern w:val="24"/>
                <w:szCs w:val="21"/>
              </w:rPr>
              <w:t>74%</w:t>
            </w:r>
          </w:p>
          <w:p w:rsidR="00C72DBD" w:rsidRDefault="00FC0A09">
            <w:pPr>
              <w:snapToGrid w:val="0"/>
              <w:jc w:val="left"/>
              <w:rPr>
                <w:bCs/>
                <w:kern w:val="24"/>
                <w:sz w:val="24"/>
              </w:rPr>
            </w:pPr>
            <w:r>
              <w:rPr>
                <w:bCs/>
                <w:kern w:val="24"/>
                <w:szCs w:val="21"/>
              </w:rPr>
              <w:t>评价指标：</w:t>
            </w:r>
            <w:r>
              <w:rPr>
                <w:bCs/>
                <w:kern w:val="24"/>
                <w:szCs w:val="21"/>
              </w:rPr>
              <w:t xml:space="preserve">Ⅰ </w:t>
            </w:r>
            <w:r>
              <w:rPr>
                <w:bCs/>
                <w:kern w:val="24"/>
                <w:szCs w:val="21"/>
              </w:rPr>
              <w:t>级基准值</w:t>
            </w:r>
          </w:p>
        </w:tc>
      </w:tr>
      <w:tr w:rsidR="00C72DBD">
        <w:trPr>
          <w:cantSplit/>
          <w:trHeight w:val="572"/>
          <w:jc w:val="center"/>
        </w:trPr>
        <w:tc>
          <w:tcPr>
            <w:tcW w:w="8681" w:type="dxa"/>
            <w:gridSpan w:val="2"/>
            <w:vAlign w:val="center"/>
          </w:tcPr>
          <w:p w:rsidR="00C72DBD" w:rsidRDefault="00FC0A09">
            <w:pPr>
              <w:snapToGrid w:val="0"/>
              <w:rPr>
                <w:kern w:val="24"/>
                <w:sz w:val="24"/>
              </w:rPr>
            </w:pPr>
            <w:r>
              <w:rPr>
                <w:kern w:val="24"/>
                <w:sz w:val="24"/>
              </w:rPr>
              <w:t>四、产品特征指标</w:t>
            </w:r>
          </w:p>
        </w:tc>
      </w:tr>
      <w:tr w:rsidR="00C72DBD">
        <w:trPr>
          <w:cantSplit/>
          <w:trHeight w:val="850"/>
          <w:jc w:val="center"/>
        </w:trPr>
        <w:tc>
          <w:tcPr>
            <w:tcW w:w="4334" w:type="dxa"/>
            <w:vAlign w:val="center"/>
          </w:tcPr>
          <w:p w:rsidR="00C72DBD" w:rsidRDefault="00FC0A09">
            <w:pPr>
              <w:snapToGrid w:val="0"/>
              <w:ind w:left="240" w:hangingChars="100" w:hanging="240"/>
              <w:jc w:val="left"/>
              <w:rPr>
                <w:bCs/>
                <w:kern w:val="24"/>
                <w:sz w:val="24"/>
              </w:rPr>
            </w:pPr>
            <w:r>
              <w:rPr>
                <w:bCs/>
                <w:kern w:val="24"/>
                <w:sz w:val="24"/>
              </w:rPr>
              <w:t>1.</w:t>
            </w:r>
            <w:r>
              <w:rPr>
                <w:bCs/>
                <w:kern w:val="24"/>
                <w:sz w:val="24"/>
              </w:rPr>
              <w:t>钢材综合成材率</w:t>
            </w:r>
            <w:r>
              <w:rPr>
                <w:bCs/>
                <w:kern w:val="24"/>
                <w:sz w:val="24"/>
              </w:rPr>
              <w:t>(</w:t>
            </w:r>
            <w:r>
              <w:rPr>
                <w:bCs/>
                <w:kern w:val="24"/>
                <w:sz w:val="24"/>
              </w:rPr>
              <w:t>热轧加工</w:t>
            </w:r>
            <w:r>
              <w:rPr>
                <w:bCs/>
                <w:kern w:val="24"/>
                <w:sz w:val="24"/>
              </w:rPr>
              <w:t>/</w:t>
            </w:r>
            <w:r>
              <w:rPr>
                <w:bCs/>
                <w:kern w:val="24"/>
                <w:sz w:val="24"/>
              </w:rPr>
              <w:t>热轧及冷轧加工</w:t>
            </w:r>
            <w:r>
              <w:rPr>
                <w:bCs/>
                <w:kern w:val="24"/>
                <w:sz w:val="24"/>
              </w:rPr>
              <w:t>/</w:t>
            </w:r>
            <w:r>
              <w:rPr>
                <w:bCs/>
                <w:kern w:val="24"/>
                <w:sz w:val="24"/>
              </w:rPr>
              <w:t>热轧、冷轧及镀涂加工</w:t>
            </w:r>
            <w:r>
              <w:rPr>
                <w:bCs/>
                <w:kern w:val="24"/>
                <w:sz w:val="24"/>
              </w:rPr>
              <w:t>)</w:t>
            </w:r>
            <w:r>
              <w:rPr>
                <w:bCs/>
                <w:kern w:val="24"/>
                <w:sz w:val="24"/>
              </w:rPr>
              <w:t>，</w:t>
            </w:r>
            <w:r>
              <w:rPr>
                <w:bCs/>
                <w:kern w:val="24"/>
                <w:sz w:val="24"/>
              </w:rPr>
              <w:t>%</w:t>
            </w:r>
          </w:p>
        </w:tc>
        <w:tc>
          <w:tcPr>
            <w:tcW w:w="4347" w:type="dxa"/>
            <w:vAlign w:val="center"/>
          </w:tcPr>
          <w:p w:rsidR="00C72DBD" w:rsidRDefault="00FC0A09">
            <w:pPr>
              <w:snapToGrid w:val="0"/>
              <w:jc w:val="left"/>
              <w:rPr>
                <w:bCs/>
                <w:kern w:val="24"/>
                <w:szCs w:val="21"/>
              </w:rPr>
            </w:pPr>
            <w:r>
              <w:rPr>
                <w:bCs/>
                <w:kern w:val="24"/>
                <w:szCs w:val="21"/>
              </w:rPr>
              <w:t>企业实际：</w:t>
            </w:r>
            <w:r>
              <w:rPr>
                <w:bCs/>
                <w:kern w:val="24"/>
                <w:szCs w:val="21"/>
              </w:rPr>
              <w:t>99.81%</w:t>
            </w:r>
          </w:p>
          <w:p w:rsidR="00C72DBD" w:rsidRDefault="00FC0A09">
            <w:pPr>
              <w:snapToGrid w:val="0"/>
              <w:jc w:val="left"/>
              <w:rPr>
                <w:bCs/>
                <w:kern w:val="24"/>
                <w:szCs w:val="21"/>
              </w:rPr>
            </w:pPr>
            <w:r>
              <w:rPr>
                <w:bCs/>
                <w:kern w:val="24"/>
                <w:szCs w:val="21"/>
              </w:rPr>
              <w:t>评价指标：</w:t>
            </w:r>
            <w:r>
              <w:rPr>
                <w:bCs/>
                <w:kern w:val="24"/>
                <w:szCs w:val="21"/>
              </w:rPr>
              <w:t xml:space="preserve">Ⅰ </w:t>
            </w:r>
            <w:r>
              <w:rPr>
                <w:bCs/>
                <w:kern w:val="24"/>
                <w:szCs w:val="21"/>
              </w:rPr>
              <w:t>级基准值</w:t>
            </w:r>
          </w:p>
        </w:tc>
      </w:tr>
      <w:tr w:rsidR="00C72DBD">
        <w:trPr>
          <w:cantSplit/>
          <w:trHeight w:val="850"/>
          <w:jc w:val="center"/>
        </w:trPr>
        <w:tc>
          <w:tcPr>
            <w:tcW w:w="4334" w:type="dxa"/>
            <w:vAlign w:val="center"/>
          </w:tcPr>
          <w:p w:rsidR="00C72DBD" w:rsidRDefault="00FC0A09">
            <w:pPr>
              <w:snapToGrid w:val="0"/>
              <w:ind w:left="480" w:hangingChars="200" w:hanging="480"/>
              <w:jc w:val="left"/>
              <w:rPr>
                <w:bCs/>
                <w:kern w:val="24"/>
                <w:sz w:val="24"/>
              </w:rPr>
            </w:pPr>
            <w:r>
              <w:rPr>
                <w:bCs/>
                <w:kern w:val="24"/>
                <w:sz w:val="24"/>
              </w:rPr>
              <w:t>2.</w:t>
            </w:r>
            <w:r>
              <w:rPr>
                <w:bCs/>
                <w:kern w:val="24"/>
                <w:sz w:val="24"/>
              </w:rPr>
              <w:t>钢材质量合格率，</w:t>
            </w:r>
            <w:r>
              <w:rPr>
                <w:bCs/>
                <w:kern w:val="24"/>
                <w:sz w:val="24"/>
              </w:rPr>
              <w:t>%</w:t>
            </w:r>
          </w:p>
        </w:tc>
        <w:tc>
          <w:tcPr>
            <w:tcW w:w="4347" w:type="dxa"/>
            <w:vAlign w:val="center"/>
          </w:tcPr>
          <w:p w:rsidR="00C72DBD" w:rsidRDefault="00FC0A09">
            <w:pPr>
              <w:snapToGrid w:val="0"/>
              <w:jc w:val="left"/>
              <w:rPr>
                <w:bCs/>
                <w:kern w:val="24"/>
                <w:szCs w:val="21"/>
              </w:rPr>
            </w:pPr>
            <w:r>
              <w:rPr>
                <w:bCs/>
                <w:kern w:val="24"/>
                <w:szCs w:val="21"/>
              </w:rPr>
              <w:t>企业实际：</w:t>
            </w:r>
            <w:r>
              <w:rPr>
                <w:bCs/>
                <w:kern w:val="24"/>
                <w:szCs w:val="21"/>
              </w:rPr>
              <w:t>99.98%</w:t>
            </w:r>
          </w:p>
          <w:p w:rsidR="00C72DBD" w:rsidRDefault="00FC0A09">
            <w:pPr>
              <w:snapToGrid w:val="0"/>
              <w:jc w:val="left"/>
              <w:rPr>
                <w:bCs/>
                <w:kern w:val="24"/>
                <w:szCs w:val="21"/>
              </w:rPr>
            </w:pPr>
            <w:r>
              <w:rPr>
                <w:bCs/>
                <w:kern w:val="24"/>
                <w:szCs w:val="21"/>
              </w:rPr>
              <w:t>评价指标：</w:t>
            </w:r>
            <w:r>
              <w:rPr>
                <w:bCs/>
                <w:kern w:val="24"/>
                <w:szCs w:val="21"/>
              </w:rPr>
              <w:t xml:space="preserve">Ⅰ </w:t>
            </w:r>
            <w:r>
              <w:rPr>
                <w:bCs/>
                <w:kern w:val="24"/>
                <w:szCs w:val="21"/>
              </w:rPr>
              <w:t>级基准值</w:t>
            </w:r>
          </w:p>
        </w:tc>
      </w:tr>
      <w:tr w:rsidR="00C72DBD">
        <w:trPr>
          <w:cantSplit/>
          <w:trHeight w:val="850"/>
          <w:jc w:val="center"/>
        </w:trPr>
        <w:tc>
          <w:tcPr>
            <w:tcW w:w="4334" w:type="dxa"/>
            <w:vAlign w:val="center"/>
          </w:tcPr>
          <w:p w:rsidR="00C72DBD" w:rsidRDefault="00FC0A09">
            <w:pPr>
              <w:snapToGrid w:val="0"/>
              <w:ind w:left="480" w:hangingChars="200" w:hanging="480"/>
              <w:jc w:val="left"/>
              <w:rPr>
                <w:bCs/>
                <w:kern w:val="24"/>
                <w:sz w:val="24"/>
              </w:rPr>
            </w:pPr>
            <w:r>
              <w:rPr>
                <w:bCs/>
                <w:kern w:val="24"/>
                <w:sz w:val="24"/>
              </w:rPr>
              <w:t>3.</w:t>
            </w:r>
            <w:r>
              <w:rPr>
                <w:bCs/>
                <w:kern w:val="24"/>
                <w:sz w:val="24"/>
              </w:rPr>
              <w:t>钢材质量优等品率，</w:t>
            </w:r>
            <w:r>
              <w:rPr>
                <w:bCs/>
                <w:kern w:val="24"/>
                <w:sz w:val="24"/>
              </w:rPr>
              <w:t>%</w:t>
            </w:r>
          </w:p>
        </w:tc>
        <w:tc>
          <w:tcPr>
            <w:tcW w:w="4347" w:type="dxa"/>
            <w:vAlign w:val="center"/>
          </w:tcPr>
          <w:p w:rsidR="00C72DBD" w:rsidRDefault="00FC0A09">
            <w:pPr>
              <w:snapToGrid w:val="0"/>
              <w:jc w:val="left"/>
              <w:rPr>
                <w:bCs/>
                <w:kern w:val="24"/>
                <w:szCs w:val="21"/>
              </w:rPr>
            </w:pPr>
            <w:r>
              <w:rPr>
                <w:bCs/>
                <w:kern w:val="24"/>
                <w:szCs w:val="21"/>
              </w:rPr>
              <w:t>企业实际：</w:t>
            </w:r>
            <w:r>
              <w:rPr>
                <w:bCs/>
                <w:kern w:val="24"/>
                <w:szCs w:val="21"/>
              </w:rPr>
              <w:t>80%</w:t>
            </w:r>
          </w:p>
          <w:p w:rsidR="00C72DBD" w:rsidRDefault="00FC0A09">
            <w:pPr>
              <w:snapToGrid w:val="0"/>
              <w:jc w:val="left"/>
              <w:rPr>
                <w:bCs/>
                <w:kern w:val="24"/>
                <w:szCs w:val="21"/>
              </w:rPr>
            </w:pPr>
            <w:r>
              <w:rPr>
                <w:bCs/>
                <w:kern w:val="24"/>
                <w:szCs w:val="21"/>
              </w:rPr>
              <w:t>评价指标：</w:t>
            </w:r>
            <w:r>
              <w:rPr>
                <w:bCs/>
                <w:kern w:val="24"/>
                <w:szCs w:val="21"/>
              </w:rPr>
              <w:t xml:space="preserve">Ⅰ </w:t>
            </w:r>
            <w:r>
              <w:rPr>
                <w:bCs/>
                <w:kern w:val="24"/>
                <w:szCs w:val="21"/>
              </w:rPr>
              <w:t>级基准值</w:t>
            </w:r>
          </w:p>
        </w:tc>
      </w:tr>
      <w:tr w:rsidR="00C72DBD">
        <w:trPr>
          <w:cantSplit/>
          <w:trHeight w:val="567"/>
          <w:jc w:val="center"/>
        </w:trPr>
        <w:tc>
          <w:tcPr>
            <w:tcW w:w="8681" w:type="dxa"/>
            <w:gridSpan w:val="2"/>
            <w:vAlign w:val="center"/>
          </w:tcPr>
          <w:p w:rsidR="00C72DBD" w:rsidRDefault="00FC0A09">
            <w:pPr>
              <w:snapToGrid w:val="0"/>
              <w:rPr>
                <w:bCs/>
                <w:kern w:val="24"/>
                <w:sz w:val="24"/>
              </w:rPr>
            </w:pPr>
            <w:r>
              <w:rPr>
                <w:bCs/>
                <w:kern w:val="24"/>
                <w:sz w:val="24"/>
              </w:rPr>
              <w:t>五、污染物排放控制指标</w:t>
            </w:r>
          </w:p>
        </w:tc>
      </w:tr>
      <w:tr w:rsidR="00C72DBD">
        <w:trPr>
          <w:cantSplit/>
          <w:trHeight w:val="850"/>
          <w:jc w:val="center"/>
        </w:trPr>
        <w:tc>
          <w:tcPr>
            <w:tcW w:w="4334" w:type="dxa"/>
            <w:tcMar>
              <w:left w:w="57" w:type="dxa"/>
              <w:right w:w="57" w:type="dxa"/>
            </w:tcMar>
            <w:vAlign w:val="center"/>
          </w:tcPr>
          <w:p w:rsidR="00C72DBD" w:rsidRDefault="00FC0A09">
            <w:pPr>
              <w:snapToGrid w:val="0"/>
              <w:ind w:left="240" w:hangingChars="100" w:hanging="240"/>
              <w:jc w:val="left"/>
              <w:rPr>
                <w:bCs/>
                <w:kern w:val="24"/>
                <w:sz w:val="24"/>
              </w:rPr>
            </w:pPr>
            <w:r>
              <w:rPr>
                <w:bCs/>
                <w:kern w:val="24"/>
                <w:sz w:val="24"/>
              </w:rPr>
              <w:t>1.</w:t>
            </w:r>
            <w:r>
              <w:rPr>
                <w:kern w:val="24"/>
                <w:sz w:val="24"/>
              </w:rPr>
              <w:t>废水</w:t>
            </w:r>
            <w:r>
              <w:rPr>
                <w:bCs/>
                <w:kern w:val="24"/>
                <w:sz w:val="24"/>
              </w:rPr>
              <w:t>排放量</w:t>
            </w:r>
            <w:r>
              <w:rPr>
                <w:kern w:val="24"/>
                <w:sz w:val="24"/>
              </w:rPr>
              <w:t>，</w:t>
            </w:r>
            <w:r>
              <w:rPr>
                <w:bCs/>
                <w:kern w:val="24"/>
                <w:sz w:val="24"/>
              </w:rPr>
              <w:t>m</w:t>
            </w:r>
            <w:r>
              <w:rPr>
                <w:bCs/>
                <w:kern w:val="24"/>
                <w:sz w:val="24"/>
                <w:vertAlign w:val="superscript"/>
              </w:rPr>
              <w:t>3</w:t>
            </w:r>
            <w:r>
              <w:rPr>
                <w:kern w:val="24"/>
                <w:sz w:val="24"/>
              </w:rPr>
              <w:t>/t</w:t>
            </w:r>
            <w:r>
              <w:rPr>
                <w:kern w:val="24"/>
                <w:sz w:val="24"/>
              </w:rPr>
              <w:t>钢</w:t>
            </w:r>
          </w:p>
        </w:tc>
        <w:tc>
          <w:tcPr>
            <w:tcW w:w="4347" w:type="dxa"/>
            <w:vAlign w:val="center"/>
          </w:tcPr>
          <w:p w:rsidR="00C72DBD" w:rsidRDefault="00FC0A09">
            <w:pPr>
              <w:snapToGrid w:val="0"/>
              <w:rPr>
                <w:bCs/>
                <w:kern w:val="24"/>
                <w:szCs w:val="21"/>
              </w:rPr>
            </w:pPr>
            <w:r>
              <w:rPr>
                <w:bCs/>
                <w:kern w:val="24"/>
                <w:szCs w:val="21"/>
              </w:rPr>
              <w:t>企业实际：</w:t>
            </w:r>
            <w:r>
              <w:rPr>
                <w:bCs/>
                <w:kern w:val="24"/>
                <w:szCs w:val="21"/>
              </w:rPr>
              <w:t>0</w:t>
            </w:r>
            <w:r>
              <w:rPr>
                <w:bCs/>
                <w:kern w:val="24"/>
                <w:sz w:val="24"/>
              </w:rPr>
              <w:t>m</w:t>
            </w:r>
            <w:r>
              <w:rPr>
                <w:bCs/>
                <w:kern w:val="24"/>
                <w:sz w:val="24"/>
                <w:vertAlign w:val="superscript"/>
              </w:rPr>
              <w:t>3</w:t>
            </w:r>
            <w:r>
              <w:rPr>
                <w:kern w:val="24"/>
                <w:sz w:val="24"/>
              </w:rPr>
              <w:t>/t</w:t>
            </w:r>
            <w:r>
              <w:rPr>
                <w:kern w:val="24"/>
                <w:sz w:val="24"/>
              </w:rPr>
              <w:t>钢</w:t>
            </w:r>
          </w:p>
          <w:p w:rsidR="00C72DBD" w:rsidRDefault="00FC0A09">
            <w:pPr>
              <w:snapToGrid w:val="0"/>
              <w:rPr>
                <w:bCs/>
                <w:kern w:val="24"/>
                <w:sz w:val="24"/>
              </w:rPr>
            </w:pPr>
            <w:r>
              <w:rPr>
                <w:bCs/>
                <w:kern w:val="24"/>
                <w:szCs w:val="21"/>
              </w:rPr>
              <w:t>评价指标：</w:t>
            </w:r>
            <w:r>
              <w:rPr>
                <w:bCs/>
                <w:kern w:val="24"/>
                <w:szCs w:val="21"/>
              </w:rPr>
              <w:t xml:space="preserve">Ⅰ </w:t>
            </w:r>
            <w:r>
              <w:rPr>
                <w:bCs/>
                <w:kern w:val="24"/>
                <w:szCs w:val="21"/>
              </w:rPr>
              <w:t>级基准值</w:t>
            </w:r>
          </w:p>
        </w:tc>
      </w:tr>
      <w:tr w:rsidR="00C72DBD">
        <w:trPr>
          <w:cantSplit/>
          <w:trHeight w:val="850"/>
          <w:jc w:val="center"/>
        </w:trPr>
        <w:tc>
          <w:tcPr>
            <w:tcW w:w="4334" w:type="dxa"/>
            <w:tcMar>
              <w:left w:w="57" w:type="dxa"/>
              <w:right w:w="57" w:type="dxa"/>
            </w:tcMar>
            <w:vAlign w:val="center"/>
          </w:tcPr>
          <w:p w:rsidR="00C72DBD" w:rsidRDefault="00FC0A09">
            <w:pPr>
              <w:snapToGrid w:val="0"/>
              <w:jc w:val="left"/>
              <w:rPr>
                <w:bCs/>
                <w:kern w:val="24"/>
                <w:sz w:val="24"/>
              </w:rPr>
            </w:pPr>
            <w:r>
              <w:rPr>
                <w:bCs/>
                <w:kern w:val="24"/>
                <w:sz w:val="24"/>
              </w:rPr>
              <w:t>2.COD</w:t>
            </w:r>
            <w:r>
              <w:rPr>
                <w:kern w:val="24"/>
                <w:sz w:val="24"/>
              </w:rPr>
              <w:t>排放量</w:t>
            </w:r>
            <w:r>
              <w:rPr>
                <w:bCs/>
                <w:kern w:val="24"/>
                <w:sz w:val="24"/>
              </w:rPr>
              <w:t>，</w:t>
            </w:r>
            <w:r>
              <w:rPr>
                <w:bCs/>
                <w:kern w:val="24"/>
                <w:sz w:val="24"/>
              </w:rPr>
              <w:t>kg/t</w:t>
            </w:r>
            <w:r>
              <w:rPr>
                <w:bCs/>
                <w:kern w:val="24"/>
                <w:sz w:val="24"/>
              </w:rPr>
              <w:t>钢</w:t>
            </w:r>
          </w:p>
        </w:tc>
        <w:tc>
          <w:tcPr>
            <w:tcW w:w="4347" w:type="dxa"/>
            <w:vAlign w:val="center"/>
          </w:tcPr>
          <w:p w:rsidR="00C72DBD" w:rsidRDefault="00FC0A09">
            <w:pPr>
              <w:snapToGrid w:val="0"/>
              <w:rPr>
                <w:bCs/>
                <w:kern w:val="24"/>
                <w:szCs w:val="21"/>
              </w:rPr>
            </w:pPr>
            <w:r>
              <w:rPr>
                <w:bCs/>
                <w:kern w:val="24"/>
                <w:szCs w:val="21"/>
              </w:rPr>
              <w:t>企业实际：</w:t>
            </w:r>
            <w:r>
              <w:rPr>
                <w:bCs/>
                <w:kern w:val="24"/>
                <w:szCs w:val="21"/>
              </w:rPr>
              <w:t>0</w:t>
            </w:r>
            <w:r>
              <w:rPr>
                <w:bCs/>
                <w:kern w:val="24"/>
                <w:sz w:val="24"/>
              </w:rPr>
              <w:t>m</w:t>
            </w:r>
            <w:r>
              <w:rPr>
                <w:bCs/>
                <w:kern w:val="24"/>
                <w:sz w:val="24"/>
                <w:vertAlign w:val="superscript"/>
              </w:rPr>
              <w:t>3</w:t>
            </w:r>
            <w:r>
              <w:rPr>
                <w:kern w:val="24"/>
                <w:sz w:val="24"/>
              </w:rPr>
              <w:t>/t</w:t>
            </w:r>
            <w:r>
              <w:rPr>
                <w:kern w:val="24"/>
                <w:sz w:val="24"/>
              </w:rPr>
              <w:t>钢</w:t>
            </w:r>
          </w:p>
          <w:p w:rsidR="00C72DBD" w:rsidRDefault="00FC0A09">
            <w:pPr>
              <w:snapToGrid w:val="0"/>
              <w:rPr>
                <w:bCs/>
                <w:kern w:val="24"/>
                <w:sz w:val="24"/>
              </w:rPr>
            </w:pPr>
            <w:r>
              <w:rPr>
                <w:bCs/>
                <w:kern w:val="24"/>
                <w:szCs w:val="21"/>
              </w:rPr>
              <w:t>评价指标：</w:t>
            </w:r>
            <w:r>
              <w:rPr>
                <w:bCs/>
                <w:kern w:val="24"/>
                <w:szCs w:val="21"/>
              </w:rPr>
              <w:t xml:space="preserve">Ⅰ </w:t>
            </w:r>
            <w:r>
              <w:rPr>
                <w:bCs/>
                <w:kern w:val="24"/>
                <w:szCs w:val="21"/>
              </w:rPr>
              <w:t>级基准值</w:t>
            </w:r>
          </w:p>
        </w:tc>
      </w:tr>
      <w:tr w:rsidR="00C72DBD">
        <w:trPr>
          <w:cantSplit/>
          <w:trHeight w:val="850"/>
          <w:jc w:val="center"/>
        </w:trPr>
        <w:tc>
          <w:tcPr>
            <w:tcW w:w="4334" w:type="dxa"/>
            <w:tcMar>
              <w:left w:w="57" w:type="dxa"/>
              <w:right w:w="57" w:type="dxa"/>
            </w:tcMar>
            <w:vAlign w:val="center"/>
          </w:tcPr>
          <w:p w:rsidR="00C72DBD" w:rsidRDefault="00FC0A09">
            <w:pPr>
              <w:snapToGrid w:val="0"/>
              <w:ind w:left="240" w:hangingChars="100" w:hanging="240"/>
              <w:jc w:val="left"/>
              <w:rPr>
                <w:bCs/>
                <w:kern w:val="24"/>
                <w:sz w:val="24"/>
              </w:rPr>
            </w:pPr>
            <w:r>
              <w:rPr>
                <w:bCs/>
                <w:kern w:val="24"/>
                <w:sz w:val="24"/>
              </w:rPr>
              <w:t>3.</w:t>
            </w:r>
            <w:r>
              <w:rPr>
                <w:bCs/>
                <w:kern w:val="24"/>
                <w:sz w:val="24"/>
              </w:rPr>
              <w:t>氨氮排放量，</w:t>
            </w:r>
            <w:r>
              <w:rPr>
                <w:bCs/>
                <w:kern w:val="24"/>
                <w:sz w:val="24"/>
              </w:rPr>
              <w:t>kg/t</w:t>
            </w:r>
            <w:r>
              <w:rPr>
                <w:bCs/>
                <w:kern w:val="24"/>
                <w:sz w:val="24"/>
              </w:rPr>
              <w:t>钢</w:t>
            </w:r>
          </w:p>
        </w:tc>
        <w:tc>
          <w:tcPr>
            <w:tcW w:w="4347" w:type="dxa"/>
            <w:vAlign w:val="center"/>
          </w:tcPr>
          <w:p w:rsidR="00C72DBD" w:rsidRDefault="00FC0A09">
            <w:pPr>
              <w:snapToGrid w:val="0"/>
              <w:rPr>
                <w:bCs/>
                <w:kern w:val="24"/>
                <w:szCs w:val="21"/>
              </w:rPr>
            </w:pPr>
            <w:r>
              <w:rPr>
                <w:bCs/>
                <w:kern w:val="24"/>
                <w:szCs w:val="21"/>
              </w:rPr>
              <w:t>企业实际：</w:t>
            </w:r>
            <w:r>
              <w:rPr>
                <w:bCs/>
                <w:kern w:val="24"/>
                <w:szCs w:val="21"/>
              </w:rPr>
              <w:t>0</w:t>
            </w:r>
            <w:r>
              <w:rPr>
                <w:bCs/>
                <w:kern w:val="24"/>
                <w:sz w:val="24"/>
              </w:rPr>
              <w:t>m</w:t>
            </w:r>
            <w:r>
              <w:rPr>
                <w:bCs/>
                <w:kern w:val="24"/>
                <w:sz w:val="24"/>
                <w:vertAlign w:val="superscript"/>
              </w:rPr>
              <w:t>3</w:t>
            </w:r>
            <w:r>
              <w:rPr>
                <w:kern w:val="24"/>
                <w:sz w:val="24"/>
              </w:rPr>
              <w:t>/t</w:t>
            </w:r>
            <w:r>
              <w:rPr>
                <w:kern w:val="24"/>
                <w:sz w:val="24"/>
              </w:rPr>
              <w:t>钢</w:t>
            </w:r>
          </w:p>
          <w:p w:rsidR="00C72DBD" w:rsidRDefault="00FC0A09">
            <w:pPr>
              <w:snapToGrid w:val="0"/>
              <w:rPr>
                <w:bCs/>
                <w:kern w:val="24"/>
                <w:sz w:val="24"/>
              </w:rPr>
            </w:pPr>
            <w:r>
              <w:rPr>
                <w:bCs/>
                <w:kern w:val="24"/>
                <w:szCs w:val="21"/>
              </w:rPr>
              <w:t>评价指标：</w:t>
            </w:r>
            <w:r>
              <w:rPr>
                <w:bCs/>
                <w:kern w:val="24"/>
                <w:szCs w:val="21"/>
              </w:rPr>
              <w:t xml:space="preserve">Ⅰ </w:t>
            </w:r>
            <w:r>
              <w:rPr>
                <w:bCs/>
                <w:kern w:val="24"/>
                <w:szCs w:val="21"/>
              </w:rPr>
              <w:t>级基准值</w:t>
            </w:r>
          </w:p>
        </w:tc>
      </w:tr>
      <w:tr w:rsidR="00C72DBD">
        <w:trPr>
          <w:cantSplit/>
          <w:trHeight w:val="850"/>
          <w:jc w:val="center"/>
        </w:trPr>
        <w:tc>
          <w:tcPr>
            <w:tcW w:w="4334" w:type="dxa"/>
            <w:tcMar>
              <w:left w:w="57" w:type="dxa"/>
              <w:right w:w="57" w:type="dxa"/>
            </w:tcMar>
            <w:vAlign w:val="center"/>
          </w:tcPr>
          <w:p w:rsidR="00C72DBD" w:rsidRDefault="00FC0A09">
            <w:pPr>
              <w:snapToGrid w:val="0"/>
              <w:ind w:left="240" w:hangingChars="100" w:hanging="240"/>
              <w:jc w:val="left"/>
              <w:rPr>
                <w:bCs/>
                <w:kern w:val="24"/>
                <w:sz w:val="24"/>
              </w:rPr>
            </w:pPr>
            <w:r>
              <w:rPr>
                <w:bCs/>
                <w:kern w:val="24"/>
                <w:sz w:val="24"/>
              </w:rPr>
              <w:t>4.</w:t>
            </w:r>
            <w:r>
              <w:rPr>
                <w:bCs/>
                <w:kern w:val="24"/>
                <w:sz w:val="24"/>
              </w:rPr>
              <w:t>颗粒物排放量，</w:t>
            </w:r>
            <w:r>
              <w:rPr>
                <w:bCs/>
                <w:kern w:val="24"/>
                <w:sz w:val="24"/>
              </w:rPr>
              <w:t>kg/t</w:t>
            </w:r>
            <w:r>
              <w:rPr>
                <w:bCs/>
                <w:kern w:val="24"/>
                <w:sz w:val="24"/>
              </w:rPr>
              <w:t>钢</w:t>
            </w:r>
          </w:p>
        </w:tc>
        <w:tc>
          <w:tcPr>
            <w:tcW w:w="4347" w:type="dxa"/>
            <w:vAlign w:val="center"/>
          </w:tcPr>
          <w:p w:rsidR="00C72DBD" w:rsidRDefault="00FC0A09">
            <w:pPr>
              <w:snapToGrid w:val="0"/>
              <w:rPr>
                <w:bCs/>
                <w:kern w:val="24"/>
                <w:szCs w:val="21"/>
              </w:rPr>
            </w:pPr>
            <w:r>
              <w:rPr>
                <w:bCs/>
                <w:kern w:val="24"/>
                <w:szCs w:val="21"/>
              </w:rPr>
              <w:t>企业实际：</w:t>
            </w:r>
            <w:r>
              <w:rPr>
                <w:bCs/>
                <w:kern w:val="24"/>
                <w:szCs w:val="21"/>
              </w:rPr>
              <w:t>0.4</w:t>
            </w:r>
            <w:r>
              <w:rPr>
                <w:rFonts w:hint="eastAsia"/>
                <w:bCs/>
                <w:kern w:val="24"/>
                <w:szCs w:val="21"/>
              </w:rPr>
              <w:t>4</w:t>
            </w:r>
            <w:r>
              <w:rPr>
                <w:bCs/>
                <w:kern w:val="24"/>
                <w:sz w:val="24"/>
              </w:rPr>
              <w:t>kg/t</w:t>
            </w:r>
            <w:r>
              <w:rPr>
                <w:bCs/>
                <w:kern w:val="24"/>
                <w:sz w:val="24"/>
              </w:rPr>
              <w:t>钢</w:t>
            </w:r>
          </w:p>
          <w:p w:rsidR="00C72DBD" w:rsidRDefault="00FC0A09">
            <w:pPr>
              <w:snapToGrid w:val="0"/>
              <w:rPr>
                <w:bCs/>
                <w:kern w:val="24"/>
                <w:sz w:val="24"/>
              </w:rPr>
            </w:pPr>
            <w:r>
              <w:rPr>
                <w:bCs/>
                <w:kern w:val="24"/>
                <w:szCs w:val="21"/>
              </w:rPr>
              <w:t>评价指标：</w:t>
            </w:r>
            <w:r>
              <w:rPr>
                <w:bCs/>
                <w:kern w:val="24"/>
                <w:szCs w:val="21"/>
              </w:rPr>
              <w:t xml:space="preserve">Ⅰ </w:t>
            </w:r>
            <w:r>
              <w:rPr>
                <w:bCs/>
                <w:kern w:val="24"/>
                <w:szCs w:val="21"/>
              </w:rPr>
              <w:t>级基准值</w:t>
            </w:r>
          </w:p>
        </w:tc>
      </w:tr>
      <w:tr w:rsidR="00C72DBD">
        <w:trPr>
          <w:cantSplit/>
          <w:trHeight w:val="850"/>
          <w:jc w:val="center"/>
        </w:trPr>
        <w:tc>
          <w:tcPr>
            <w:tcW w:w="4334" w:type="dxa"/>
            <w:tcMar>
              <w:left w:w="57" w:type="dxa"/>
              <w:right w:w="57" w:type="dxa"/>
            </w:tcMar>
            <w:vAlign w:val="center"/>
          </w:tcPr>
          <w:p w:rsidR="00C72DBD" w:rsidRDefault="00FC0A09">
            <w:pPr>
              <w:snapToGrid w:val="0"/>
              <w:ind w:left="240" w:hangingChars="100" w:hanging="240"/>
              <w:jc w:val="left"/>
              <w:rPr>
                <w:bCs/>
                <w:kern w:val="24"/>
                <w:sz w:val="24"/>
              </w:rPr>
            </w:pPr>
            <w:r>
              <w:rPr>
                <w:bCs/>
                <w:kern w:val="24"/>
                <w:sz w:val="24"/>
              </w:rPr>
              <w:t>5.SO</w:t>
            </w:r>
            <w:r>
              <w:rPr>
                <w:bCs/>
                <w:kern w:val="24"/>
                <w:sz w:val="24"/>
                <w:vertAlign w:val="subscript"/>
              </w:rPr>
              <w:t>2</w:t>
            </w:r>
            <w:r>
              <w:rPr>
                <w:bCs/>
                <w:kern w:val="24"/>
                <w:sz w:val="24"/>
              </w:rPr>
              <w:t>排放量，</w:t>
            </w:r>
            <w:r>
              <w:rPr>
                <w:bCs/>
                <w:kern w:val="24"/>
                <w:sz w:val="24"/>
              </w:rPr>
              <w:t>kg/t</w:t>
            </w:r>
            <w:r>
              <w:rPr>
                <w:bCs/>
                <w:kern w:val="24"/>
                <w:sz w:val="24"/>
              </w:rPr>
              <w:t>钢</w:t>
            </w:r>
          </w:p>
        </w:tc>
        <w:tc>
          <w:tcPr>
            <w:tcW w:w="4347" w:type="dxa"/>
            <w:vAlign w:val="center"/>
          </w:tcPr>
          <w:p w:rsidR="00C72DBD" w:rsidRDefault="00FC0A09">
            <w:pPr>
              <w:snapToGrid w:val="0"/>
              <w:rPr>
                <w:bCs/>
                <w:kern w:val="24"/>
                <w:szCs w:val="21"/>
              </w:rPr>
            </w:pPr>
            <w:r>
              <w:rPr>
                <w:bCs/>
                <w:kern w:val="24"/>
                <w:szCs w:val="21"/>
              </w:rPr>
              <w:t>企业实际：</w:t>
            </w:r>
            <w:r>
              <w:rPr>
                <w:bCs/>
                <w:kern w:val="24"/>
                <w:szCs w:val="21"/>
              </w:rPr>
              <w:t>0.2</w:t>
            </w:r>
            <w:r>
              <w:rPr>
                <w:rFonts w:hint="eastAsia"/>
                <w:bCs/>
                <w:kern w:val="24"/>
                <w:szCs w:val="21"/>
              </w:rPr>
              <w:t>4</w:t>
            </w:r>
            <w:r>
              <w:rPr>
                <w:bCs/>
                <w:kern w:val="24"/>
                <w:sz w:val="24"/>
              </w:rPr>
              <w:t>kg/t</w:t>
            </w:r>
            <w:r>
              <w:rPr>
                <w:bCs/>
                <w:kern w:val="24"/>
                <w:sz w:val="24"/>
              </w:rPr>
              <w:t>钢</w:t>
            </w:r>
          </w:p>
          <w:p w:rsidR="00C72DBD" w:rsidRDefault="00FC0A09">
            <w:pPr>
              <w:snapToGrid w:val="0"/>
              <w:rPr>
                <w:bCs/>
                <w:kern w:val="24"/>
                <w:szCs w:val="21"/>
              </w:rPr>
            </w:pPr>
            <w:r>
              <w:rPr>
                <w:bCs/>
                <w:kern w:val="24"/>
                <w:szCs w:val="21"/>
              </w:rPr>
              <w:t>评价指标：</w:t>
            </w:r>
            <w:r>
              <w:rPr>
                <w:bCs/>
                <w:kern w:val="24"/>
                <w:szCs w:val="21"/>
              </w:rPr>
              <w:t xml:space="preserve">Ⅰ </w:t>
            </w:r>
            <w:r>
              <w:rPr>
                <w:bCs/>
                <w:kern w:val="24"/>
                <w:szCs w:val="21"/>
              </w:rPr>
              <w:t>级基准值</w:t>
            </w:r>
          </w:p>
        </w:tc>
      </w:tr>
      <w:tr w:rsidR="00C72DBD">
        <w:trPr>
          <w:cantSplit/>
          <w:trHeight w:val="850"/>
          <w:jc w:val="center"/>
        </w:trPr>
        <w:tc>
          <w:tcPr>
            <w:tcW w:w="4334" w:type="dxa"/>
            <w:tcMar>
              <w:left w:w="57" w:type="dxa"/>
              <w:right w:w="57" w:type="dxa"/>
            </w:tcMar>
            <w:vAlign w:val="center"/>
          </w:tcPr>
          <w:p w:rsidR="00C72DBD" w:rsidRDefault="00FC0A09">
            <w:pPr>
              <w:snapToGrid w:val="0"/>
              <w:ind w:left="240" w:hangingChars="100" w:hanging="240"/>
              <w:jc w:val="left"/>
              <w:rPr>
                <w:bCs/>
                <w:kern w:val="24"/>
                <w:sz w:val="24"/>
              </w:rPr>
            </w:pPr>
            <w:r>
              <w:rPr>
                <w:bCs/>
                <w:kern w:val="24"/>
                <w:sz w:val="24"/>
              </w:rPr>
              <w:t>6.NOx(</w:t>
            </w:r>
            <w:r>
              <w:rPr>
                <w:bCs/>
                <w:kern w:val="24"/>
                <w:sz w:val="24"/>
              </w:rPr>
              <w:t>以</w:t>
            </w:r>
            <w:r>
              <w:rPr>
                <w:bCs/>
                <w:kern w:val="24"/>
                <w:sz w:val="24"/>
              </w:rPr>
              <w:t>NO</w:t>
            </w:r>
            <w:r>
              <w:rPr>
                <w:bCs/>
                <w:kern w:val="24"/>
                <w:sz w:val="24"/>
                <w:vertAlign w:val="subscript"/>
              </w:rPr>
              <w:t>2</w:t>
            </w:r>
            <w:r>
              <w:rPr>
                <w:bCs/>
                <w:kern w:val="24"/>
                <w:sz w:val="24"/>
              </w:rPr>
              <w:t>计</w:t>
            </w:r>
            <w:r>
              <w:rPr>
                <w:bCs/>
                <w:kern w:val="24"/>
                <w:sz w:val="24"/>
              </w:rPr>
              <w:t>)</w:t>
            </w:r>
            <w:r>
              <w:rPr>
                <w:bCs/>
                <w:kern w:val="24"/>
                <w:sz w:val="24"/>
              </w:rPr>
              <w:t>排放量，</w:t>
            </w:r>
            <w:r>
              <w:rPr>
                <w:bCs/>
                <w:kern w:val="24"/>
                <w:sz w:val="24"/>
              </w:rPr>
              <w:t>kg/t</w:t>
            </w:r>
            <w:r>
              <w:rPr>
                <w:bCs/>
                <w:kern w:val="24"/>
                <w:sz w:val="24"/>
              </w:rPr>
              <w:t>钢</w:t>
            </w:r>
          </w:p>
        </w:tc>
        <w:tc>
          <w:tcPr>
            <w:tcW w:w="4347" w:type="dxa"/>
            <w:vAlign w:val="center"/>
          </w:tcPr>
          <w:p w:rsidR="00C72DBD" w:rsidRDefault="00FC0A09">
            <w:pPr>
              <w:snapToGrid w:val="0"/>
              <w:rPr>
                <w:bCs/>
                <w:kern w:val="24"/>
                <w:szCs w:val="21"/>
              </w:rPr>
            </w:pPr>
            <w:r>
              <w:rPr>
                <w:bCs/>
                <w:kern w:val="24"/>
                <w:szCs w:val="21"/>
              </w:rPr>
              <w:t>企业实际：</w:t>
            </w:r>
            <w:r>
              <w:rPr>
                <w:bCs/>
                <w:kern w:val="24"/>
                <w:szCs w:val="21"/>
              </w:rPr>
              <w:t>0.</w:t>
            </w:r>
            <w:r>
              <w:rPr>
                <w:rFonts w:hint="eastAsia"/>
                <w:bCs/>
                <w:kern w:val="24"/>
                <w:szCs w:val="21"/>
              </w:rPr>
              <w:t>42</w:t>
            </w:r>
            <w:r>
              <w:rPr>
                <w:bCs/>
                <w:kern w:val="24"/>
                <w:sz w:val="24"/>
              </w:rPr>
              <w:t>kg/t</w:t>
            </w:r>
            <w:r>
              <w:rPr>
                <w:bCs/>
                <w:kern w:val="24"/>
                <w:sz w:val="24"/>
              </w:rPr>
              <w:t>钢</w:t>
            </w:r>
          </w:p>
          <w:p w:rsidR="00C72DBD" w:rsidRDefault="00FC0A09">
            <w:pPr>
              <w:snapToGrid w:val="0"/>
              <w:rPr>
                <w:bCs/>
                <w:kern w:val="24"/>
                <w:szCs w:val="21"/>
              </w:rPr>
            </w:pPr>
            <w:r>
              <w:rPr>
                <w:bCs/>
                <w:kern w:val="24"/>
                <w:szCs w:val="21"/>
              </w:rPr>
              <w:t>评价指标：</w:t>
            </w:r>
            <w:r>
              <w:rPr>
                <w:bCs/>
                <w:kern w:val="24"/>
                <w:szCs w:val="21"/>
              </w:rPr>
              <w:t xml:space="preserve">Ⅰ </w:t>
            </w:r>
            <w:r>
              <w:rPr>
                <w:bCs/>
                <w:kern w:val="24"/>
                <w:szCs w:val="21"/>
              </w:rPr>
              <w:t>级基准值</w:t>
            </w:r>
          </w:p>
        </w:tc>
      </w:tr>
      <w:tr w:rsidR="00C72DBD">
        <w:trPr>
          <w:cantSplit/>
          <w:trHeight w:val="567"/>
          <w:jc w:val="center"/>
        </w:trPr>
        <w:tc>
          <w:tcPr>
            <w:tcW w:w="8681" w:type="dxa"/>
            <w:gridSpan w:val="2"/>
            <w:vAlign w:val="center"/>
          </w:tcPr>
          <w:p w:rsidR="00C72DBD" w:rsidRDefault="00FC0A09">
            <w:pPr>
              <w:snapToGrid w:val="0"/>
              <w:rPr>
                <w:kern w:val="24"/>
                <w:sz w:val="24"/>
              </w:rPr>
            </w:pPr>
            <w:r>
              <w:rPr>
                <w:kern w:val="24"/>
                <w:sz w:val="24"/>
              </w:rPr>
              <w:t>六、资源综合利用指标</w:t>
            </w:r>
          </w:p>
        </w:tc>
      </w:tr>
      <w:tr w:rsidR="00C72DBD">
        <w:trPr>
          <w:cantSplit/>
          <w:trHeight w:val="850"/>
          <w:jc w:val="center"/>
        </w:trPr>
        <w:tc>
          <w:tcPr>
            <w:tcW w:w="4334" w:type="dxa"/>
            <w:vAlign w:val="center"/>
          </w:tcPr>
          <w:p w:rsidR="00C72DBD" w:rsidRDefault="00FC0A09">
            <w:pPr>
              <w:snapToGrid w:val="0"/>
              <w:ind w:left="240" w:hangingChars="100" w:hanging="240"/>
              <w:jc w:val="left"/>
              <w:rPr>
                <w:bCs/>
                <w:kern w:val="24"/>
                <w:sz w:val="24"/>
              </w:rPr>
            </w:pPr>
            <w:r>
              <w:rPr>
                <w:bCs/>
                <w:kern w:val="24"/>
                <w:sz w:val="24"/>
              </w:rPr>
              <w:t>1.</w:t>
            </w:r>
            <w:r>
              <w:rPr>
                <w:bCs/>
                <w:kern w:val="24"/>
                <w:sz w:val="24"/>
              </w:rPr>
              <w:t>生产水重复利用率，</w:t>
            </w:r>
            <w:r>
              <w:rPr>
                <w:bCs/>
                <w:kern w:val="24"/>
                <w:sz w:val="24"/>
              </w:rPr>
              <w:t>%</w:t>
            </w:r>
          </w:p>
        </w:tc>
        <w:tc>
          <w:tcPr>
            <w:tcW w:w="4347" w:type="dxa"/>
            <w:vAlign w:val="center"/>
          </w:tcPr>
          <w:p w:rsidR="00C72DBD" w:rsidRDefault="00FC0A09">
            <w:pPr>
              <w:snapToGrid w:val="0"/>
              <w:rPr>
                <w:bCs/>
                <w:kern w:val="24"/>
                <w:szCs w:val="21"/>
              </w:rPr>
            </w:pPr>
            <w:r>
              <w:rPr>
                <w:bCs/>
                <w:kern w:val="24"/>
                <w:szCs w:val="21"/>
              </w:rPr>
              <w:t>企业实际：</w:t>
            </w:r>
            <w:r>
              <w:rPr>
                <w:bCs/>
                <w:kern w:val="24"/>
                <w:szCs w:val="21"/>
              </w:rPr>
              <w:t>100%</w:t>
            </w:r>
          </w:p>
          <w:p w:rsidR="00C72DBD" w:rsidRDefault="00FC0A09">
            <w:pPr>
              <w:snapToGrid w:val="0"/>
              <w:jc w:val="left"/>
              <w:rPr>
                <w:bCs/>
                <w:kern w:val="24"/>
                <w:sz w:val="24"/>
              </w:rPr>
            </w:pPr>
            <w:r>
              <w:rPr>
                <w:bCs/>
                <w:kern w:val="24"/>
                <w:szCs w:val="21"/>
              </w:rPr>
              <w:t>评价指标：</w:t>
            </w:r>
            <w:r>
              <w:rPr>
                <w:bCs/>
                <w:kern w:val="24"/>
                <w:szCs w:val="21"/>
              </w:rPr>
              <w:t xml:space="preserve">Ⅰ </w:t>
            </w:r>
            <w:r>
              <w:rPr>
                <w:bCs/>
                <w:kern w:val="24"/>
                <w:szCs w:val="21"/>
              </w:rPr>
              <w:t>级基准值</w:t>
            </w:r>
          </w:p>
        </w:tc>
      </w:tr>
      <w:tr w:rsidR="00C72DBD">
        <w:trPr>
          <w:cantSplit/>
          <w:trHeight w:val="850"/>
          <w:jc w:val="center"/>
        </w:trPr>
        <w:tc>
          <w:tcPr>
            <w:tcW w:w="4334" w:type="dxa"/>
            <w:vAlign w:val="center"/>
          </w:tcPr>
          <w:p w:rsidR="00C72DBD" w:rsidRDefault="00FC0A09">
            <w:pPr>
              <w:snapToGrid w:val="0"/>
              <w:ind w:left="240" w:hangingChars="100" w:hanging="240"/>
              <w:jc w:val="left"/>
              <w:rPr>
                <w:bCs/>
                <w:kern w:val="24"/>
                <w:sz w:val="24"/>
              </w:rPr>
            </w:pPr>
            <w:r>
              <w:rPr>
                <w:bCs/>
                <w:kern w:val="24"/>
                <w:sz w:val="24"/>
              </w:rPr>
              <w:t>2.</w:t>
            </w:r>
            <w:r>
              <w:rPr>
                <w:bCs/>
                <w:kern w:val="24"/>
                <w:sz w:val="24"/>
              </w:rPr>
              <w:t>高炉煤气利用率，</w:t>
            </w:r>
            <w:r>
              <w:rPr>
                <w:bCs/>
                <w:kern w:val="24"/>
                <w:sz w:val="24"/>
              </w:rPr>
              <w:t>%</w:t>
            </w:r>
          </w:p>
        </w:tc>
        <w:tc>
          <w:tcPr>
            <w:tcW w:w="4347" w:type="dxa"/>
            <w:vAlign w:val="center"/>
          </w:tcPr>
          <w:p w:rsidR="00C72DBD" w:rsidRDefault="00FC0A09">
            <w:pPr>
              <w:snapToGrid w:val="0"/>
              <w:rPr>
                <w:bCs/>
                <w:kern w:val="24"/>
                <w:szCs w:val="21"/>
              </w:rPr>
            </w:pPr>
            <w:r>
              <w:rPr>
                <w:bCs/>
                <w:kern w:val="24"/>
                <w:szCs w:val="21"/>
              </w:rPr>
              <w:t>企业实际：</w:t>
            </w:r>
            <w:r>
              <w:rPr>
                <w:rFonts w:hint="eastAsia"/>
                <w:bCs/>
                <w:kern w:val="24"/>
                <w:szCs w:val="21"/>
              </w:rPr>
              <w:t>100</w:t>
            </w:r>
            <w:r>
              <w:rPr>
                <w:bCs/>
                <w:kern w:val="24"/>
                <w:szCs w:val="21"/>
              </w:rPr>
              <w:t>%</w:t>
            </w:r>
          </w:p>
          <w:p w:rsidR="00C72DBD" w:rsidRDefault="00FC0A09">
            <w:pPr>
              <w:snapToGrid w:val="0"/>
              <w:jc w:val="left"/>
              <w:rPr>
                <w:bCs/>
                <w:kern w:val="24"/>
                <w:sz w:val="24"/>
              </w:rPr>
            </w:pPr>
            <w:r>
              <w:rPr>
                <w:bCs/>
                <w:kern w:val="24"/>
                <w:szCs w:val="21"/>
              </w:rPr>
              <w:t>评价指标：</w:t>
            </w:r>
            <w:r>
              <w:rPr>
                <w:bCs/>
                <w:kern w:val="24"/>
                <w:szCs w:val="21"/>
              </w:rPr>
              <w:t xml:space="preserve">Ⅰ </w:t>
            </w:r>
            <w:r>
              <w:rPr>
                <w:bCs/>
                <w:kern w:val="24"/>
                <w:szCs w:val="21"/>
              </w:rPr>
              <w:t>级基准值</w:t>
            </w:r>
          </w:p>
        </w:tc>
      </w:tr>
      <w:tr w:rsidR="00C72DBD">
        <w:trPr>
          <w:cantSplit/>
          <w:trHeight w:val="850"/>
          <w:jc w:val="center"/>
        </w:trPr>
        <w:tc>
          <w:tcPr>
            <w:tcW w:w="4334" w:type="dxa"/>
            <w:vAlign w:val="center"/>
          </w:tcPr>
          <w:p w:rsidR="00C72DBD" w:rsidRDefault="00FC0A09">
            <w:pPr>
              <w:snapToGrid w:val="0"/>
              <w:ind w:left="240" w:hangingChars="100" w:hanging="240"/>
              <w:jc w:val="left"/>
              <w:rPr>
                <w:bCs/>
                <w:kern w:val="24"/>
                <w:sz w:val="24"/>
              </w:rPr>
            </w:pPr>
            <w:r>
              <w:rPr>
                <w:bCs/>
                <w:kern w:val="24"/>
                <w:sz w:val="24"/>
              </w:rPr>
              <w:t>3.</w:t>
            </w:r>
            <w:r>
              <w:rPr>
                <w:bCs/>
                <w:kern w:val="24"/>
                <w:sz w:val="24"/>
              </w:rPr>
              <w:t>焦炉煤气利用率，</w:t>
            </w:r>
            <w:r>
              <w:rPr>
                <w:bCs/>
                <w:kern w:val="24"/>
                <w:sz w:val="24"/>
              </w:rPr>
              <w:t>%</w:t>
            </w:r>
          </w:p>
        </w:tc>
        <w:tc>
          <w:tcPr>
            <w:tcW w:w="4347" w:type="dxa"/>
            <w:vAlign w:val="center"/>
          </w:tcPr>
          <w:p w:rsidR="00C72DBD" w:rsidRDefault="00FC0A09">
            <w:pPr>
              <w:snapToGrid w:val="0"/>
              <w:rPr>
                <w:bCs/>
                <w:kern w:val="24"/>
                <w:szCs w:val="21"/>
              </w:rPr>
            </w:pPr>
            <w:r>
              <w:rPr>
                <w:bCs/>
                <w:kern w:val="24"/>
                <w:szCs w:val="21"/>
              </w:rPr>
              <w:t>企业实际：</w:t>
            </w:r>
            <w:r>
              <w:rPr>
                <w:rFonts w:hint="eastAsia"/>
                <w:bCs/>
                <w:kern w:val="24"/>
                <w:szCs w:val="21"/>
              </w:rPr>
              <w:t>100</w:t>
            </w:r>
            <w:r>
              <w:rPr>
                <w:bCs/>
                <w:kern w:val="24"/>
                <w:szCs w:val="21"/>
              </w:rPr>
              <w:t>%</w:t>
            </w:r>
          </w:p>
          <w:p w:rsidR="00C72DBD" w:rsidRDefault="00FC0A09">
            <w:pPr>
              <w:snapToGrid w:val="0"/>
              <w:jc w:val="left"/>
              <w:rPr>
                <w:bCs/>
                <w:kern w:val="24"/>
                <w:sz w:val="24"/>
              </w:rPr>
            </w:pPr>
            <w:r>
              <w:rPr>
                <w:bCs/>
                <w:kern w:val="24"/>
                <w:szCs w:val="21"/>
              </w:rPr>
              <w:t>评价指标：</w:t>
            </w:r>
            <w:r>
              <w:rPr>
                <w:bCs/>
                <w:kern w:val="24"/>
                <w:szCs w:val="21"/>
              </w:rPr>
              <w:t xml:space="preserve">Ⅰ </w:t>
            </w:r>
            <w:r>
              <w:rPr>
                <w:bCs/>
                <w:kern w:val="24"/>
                <w:szCs w:val="21"/>
              </w:rPr>
              <w:t>级基准值</w:t>
            </w:r>
          </w:p>
        </w:tc>
      </w:tr>
      <w:tr w:rsidR="00C72DBD">
        <w:trPr>
          <w:cantSplit/>
          <w:trHeight w:val="850"/>
          <w:jc w:val="center"/>
        </w:trPr>
        <w:tc>
          <w:tcPr>
            <w:tcW w:w="4334" w:type="dxa"/>
            <w:vAlign w:val="center"/>
          </w:tcPr>
          <w:p w:rsidR="00C72DBD" w:rsidRDefault="00FC0A09">
            <w:pPr>
              <w:snapToGrid w:val="0"/>
              <w:ind w:left="240" w:hangingChars="100" w:hanging="240"/>
              <w:jc w:val="left"/>
              <w:rPr>
                <w:bCs/>
                <w:kern w:val="24"/>
                <w:sz w:val="24"/>
              </w:rPr>
            </w:pPr>
            <w:r>
              <w:rPr>
                <w:bCs/>
                <w:kern w:val="24"/>
                <w:sz w:val="24"/>
              </w:rPr>
              <w:t>4.</w:t>
            </w:r>
            <w:r>
              <w:rPr>
                <w:bCs/>
                <w:kern w:val="24"/>
                <w:sz w:val="24"/>
              </w:rPr>
              <w:t>转炉煤气回收热量，</w:t>
            </w:r>
            <w:r>
              <w:rPr>
                <w:bCs/>
                <w:kern w:val="24"/>
                <w:sz w:val="24"/>
              </w:rPr>
              <w:t>kgce/t</w:t>
            </w:r>
            <w:r>
              <w:rPr>
                <w:bCs/>
                <w:kern w:val="24"/>
                <w:sz w:val="24"/>
              </w:rPr>
              <w:t>钢</w:t>
            </w:r>
          </w:p>
        </w:tc>
        <w:tc>
          <w:tcPr>
            <w:tcW w:w="4347" w:type="dxa"/>
            <w:vAlign w:val="center"/>
          </w:tcPr>
          <w:p w:rsidR="00C72DBD" w:rsidRDefault="00FC0A09">
            <w:pPr>
              <w:snapToGrid w:val="0"/>
              <w:jc w:val="left"/>
              <w:rPr>
                <w:bCs/>
                <w:kern w:val="24"/>
                <w:szCs w:val="21"/>
              </w:rPr>
            </w:pPr>
            <w:r>
              <w:rPr>
                <w:bCs/>
                <w:kern w:val="24"/>
                <w:szCs w:val="21"/>
              </w:rPr>
              <w:t>企业实际：</w:t>
            </w:r>
            <w:r>
              <w:rPr>
                <w:bCs/>
                <w:kern w:val="24"/>
                <w:szCs w:val="21"/>
              </w:rPr>
              <w:t>29.68kgce/t</w:t>
            </w:r>
          </w:p>
          <w:p w:rsidR="00C72DBD" w:rsidRDefault="00FC0A09">
            <w:pPr>
              <w:snapToGrid w:val="0"/>
              <w:jc w:val="left"/>
              <w:rPr>
                <w:bCs/>
                <w:kern w:val="24"/>
                <w:sz w:val="24"/>
              </w:rPr>
            </w:pPr>
            <w:r>
              <w:rPr>
                <w:bCs/>
                <w:kern w:val="24"/>
                <w:szCs w:val="21"/>
              </w:rPr>
              <w:t>评价指标：</w:t>
            </w:r>
            <w:r>
              <w:rPr>
                <w:bCs/>
                <w:kern w:val="24"/>
                <w:szCs w:val="21"/>
              </w:rPr>
              <w:t xml:space="preserve">Ⅰ </w:t>
            </w:r>
            <w:r>
              <w:rPr>
                <w:bCs/>
                <w:kern w:val="24"/>
                <w:szCs w:val="21"/>
              </w:rPr>
              <w:t>级基准值</w:t>
            </w:r>
          </w:p>
        </w:tc>
      </w:tr>
      <w:tr w:rsidR="00C72DBD">
        <w:trPr>
          <w:cantSplit/>
          <w:trHeight w:val="850"/>
          <w:jc w:val="center"/>
        </w:trPr>
        <w:tc>
          <w:tcPr>
            <w:tcW w:w="4334" w:type="dxa"/>
            <w:vAlign w:val="center"/>
          </w:tcPr>
          <w:p w:rsidR="00C72DBD" w:rsidRDefault="00FC0A09">
            <w:pPr>
              <w:snapToGrid w:val="0"/>
              <w:ind w:left="240" w:hangingChars="100" w:hanging="240"/>
              <w:jc w:val="left"/>
              <w:rPr>
                <w:bCs/>
                <w:kern w:val="24"/>
                <w:sz w:val="24"/>
              </w:rPr>
            </w:pPr>
            <w:r>
              <w:rPr>
                <w:bCs/>
                <w:kern w:val="24"/>
                <w:sz w:val="24"/>
              </w:rPr>
              <w:t>5.</w:t>
            </w:r>
            <w:r>
              <w:rPr>
                <w:bCs/>
                <w:kern w:val="24"/>
                <w:sz w:val="24"/>
              </w:rPr>
              <w:t>含铁尘</w:t>
            </w:r>
            <w:r>
              <w:rPr>
                <w:bCs/>
                <w:kern w:val="24"/>
                <w:sz w:val="24"/>
              </w:rPr>
              <w:t>(</w:t>
            </w:r>
            <w:r>
              <w:rPr>
                <w:bCs/>
                <w:kern w:val="24"/>
                <w:sz w:val="24"/>
              </w:rPr>
              <w:t>泥</w:t>
            </w:r>
            <w:r>
              <w:rPr>
                <w:bCs/>
                <w:kern w:val="24"/>
                <w:sz w:val="24"/>
              </w:rPr>
              <w:t>)</w:t>
            </w:r>
            <w:r>
              <w:rPr>
                <w:bCs/>
                <w:kern w:val="24"/>
                <w:sz w:val="24"/>
              </w:rPr>
              <w:t>回收利用率，</w:t>
            </w:r>
            <w:r>
              <w:rPr>
                <w:bCs/>
                <w:kern w:val="24"/>
                <w:sz w:val="24"/>
              </w:rPr>
              <w:t>%</w:t>
            </w:r>
          </w:p>
        </w:tc>
        <w:tc>
          <w:tcPr>
            <w:tcW w:w="4347" w:type="dxa"/>
            <w:vAlign w:val="center"/>
          </w:tcPr>
          <w:p w:rsidR="00C72DBD" w:rsidRDefault="00FC0A09">
            <w:pPr>
              <w:snapToGrid w:val="0"/>
              <w:rPr>
                <w:bCs/>
                <w:kern w:val="24"/>
                <w:szCs w:val="21"/>
              </w:rPr>
            </w:pPr>
            <w:r>
              <w:rPr>
                <w:bCs/>
                <w:kern w:val="24"/>
                <w:szCs w:val="21"/>
              </w:rPr>
              <w:t>企业实际：</w:t>
            </w:r>
            <w:r>
              <w:rPr>
                <w:bCs/>
                <w:kern w:val="24"/>
                <w:szCs w:val="21"/>
              </w:rPr>
              <w:t>100%</w:t>
            </w:r>
          </w:p>
          <w:p w:rsidR="00C72DBD" w:rsidRDefault="00FC0A09">
            <w:pPr>
              <w:snapToGrid w:val="0"/>
              <w:jc w:val="left"/>
              <w:rPr>
                <w:bCs/>
                <w:kern w:val="24"/>
                <w:sz w:val="24"/>
              </w:rPr>
            </w:pPr>
            <w:r>
              <w:rPr>
                <w:bCs/>
                <w:kern w:val="24"/>
                <w:szCs w:val="21"/>
              </w:rPr>
              <w:t>评价指标：</w:t>
            </w:r>
            <w:r>
              <w:rPr>
                <w:bCs/>
                <w:kern w:val="24"/>
                <w:szCs w:val="21"/>
              </w:rPr>
              <w:t xml:space="preserve">Ⅰ </w:t>
            </w:r>
            <w:r>
              <w:rPr>
                <w:bCs/>
                <w:kern w:val="24"/>
                <w:szCs w:val="21"/>
              </w:rPr>
              <w:t>级基准值</w:t>
            </w:r>
          </w:p>
        </w:tc>
      </w:tr>
      <w:tr w:rsidR="00C72DBD">
        <w:trPr>
          <w:cantSplit/>
          <w:trHeight w:val="850"/>
          <w:jc w:val="center"/>
        </w:trPr>
        <w:tc>
          <w:tcPr>
            <w:tcW w:w="4334" w:type="dxa"/>
            <w:vAlign w:val="center"/>
          </w:tcPr>
          <w:p w:rsidR="00C72DBD" w:rsidRDefault="00FC0A09">
            <w:pPr>
              <w:snapToGrid w:val="0"/>
              <w:ind w:left="240" w:hangingChars="100" w:hanging="240"/>
              <w:jc w:val="left"/>
              <w:rPr>
                <w:bCs/>
                <w:kern w:val="24"/>
                <w:sz w:val="24"/>
              </w:rPr>
            </w:pPr>
            <w:r>
              <w:rPr>
                <w:bCs/>
                <w:kern w:val="24"/>
                <w:sz w:val="24"/>
              </w:rPr>
              <w:t>6.</w:t>
            </w:r>
            <w:r>
              <w:rPr>
                <w:bCs/>
                <w:kern w:val="24"/>
                <w:sz w:val="24"/>
              </w:rPr>
              <w:t>高炉渣利用率，</w:t>
            </w:r>
            <w:r>
              <w:rPr>
                <w:bCs/>
                <w:kern w:val="24"/>
                <w:sz w:val="24"/>
              </w:rPr>
              <w:t>%</w:t>
            </w:r>
          </w:p>
        </w:tc>
        <w:tc>
          <w:tcPr>
            <w:tcW w:w="4347" w:type="dxa"/>
            <w:vAlign w:val="center"/>
          </w:tcPr>
          <w:p w:rsidR="00C72DBD" w:rsidRDefault="00FC0A09">
            <w:pPr>
              <w:snapToGrid w:val="0"/>
              <w:rPr>
                <w:bCs/>
                <w:kern w:val="24"/>
                <w:szCs w:val="21"/>
              </w:rPr>
            </w:pPr>
            <w:r>
              <w:rPr>
                <w:bCs/>
                <w:kern w:val="24"/>
                <w:szCs w:val="21"/>
              </w:rPr>
              <w:t>企业实际：</w:t>
            </w:r>
            <w:r>
              <w:rPr>
                <w:bCs/>
                <w:kern w:val="24"/>
                <w:szCs w:val="21"/>
              </w:rPr>
              <w:t>100%</w:t>
            </w:r>
          </w:p>
          <w:p w:rsidR="00C72DBD" w:rsidRDefault="00FC0A09">
            <w:pPr>
              <w:snapToGrid w:val="0"/>
              <w:jc w:val="left"/>
              <w:rPr>
                <w:bCs/>
                <w:kern w:val="24"/>
                <w:sz w:val="24"/>
              </w:rPr>
            </w:pPr>
            <w:r>
              <w:rPr>
                <w:bCs/>
                <w:kern w:val="24"/>
                <w:szCs w:val="21"/>
              </w:rPr>
              <w:t>评价指标：</w:t>
            </w:r>
            <w:r>
              <w:rPr>
                <w:bCs/>
                <w:kern w:val="24"/>
                <w:szCs w:val="21"/>
              </w:rPr>
              <w:t xml:space="preserve">Ⅰ </w:t>
            </w:r>
            <w:r>
              <w:rPr>
                <w:bCs/>
                <w:kern w:val="24"/>
                <w:szCs w:val="21"/>
              </w:rPr>
              <w:t>级基准值</w:t>
            </w:r>
          </w:p>
        </w:tc>
      </w:tr>
      <w:tr w:rsidR="00C72DBD">
        <w:trPr>
          <w:cantSplit/>
          <w:trHeight w:val="850"/>
          <w:jc w:val="center"/>
        </w:trPr>
        <w:tc>
          <w:tcPr>
            <w:tcW w:w="4334" w:type="dxa"/>
            <w:vAlign w:val="center"/>
          </w:tcPr>
          <w:p w:rsidR="00C72DBD" w:rsidRDefault="00FC0A09">
            <w:pPr>
              <w:snapToGrid w:val="0"/>
              <w:ind w:left="240" w:hangingChars="100" w:hanging="240"/>
              <w:jc w:val="left"/>
              <w:rPr>
                <w:bCs/>
                <w:kern w:val="24"/>
                <w:sz w:val="24"/>
              </w:rPr>
            </w:pPr>
            <w:r>
              <w:rPr>
                <w:bCs/>
                <w:kern w:val="24"/>
                <w:sz w:val="24"/>
              </w:rPr>
              <w:t>7.</w:t>
            </w:r>
            <w:r>
              <w:rPr>
                <w:bCs/>
                <w:kern w:val="24"/>
                <w:sz w:val="24"/>
              </w:rPr>
              <w:t>转炉渣利用率，</w:t>
            </w:r>
            <w:r>
              <w:rPr>
                <w:bCs/>
                <w:kern w:val="24"/>
                <w:sz w:val="24"/>
              </w:rPr>
              <w:t>%</w:t>
            </w:r>
          </w:p>
        </w:tc>
        <w:tc>
          <w:tcPr>
            <w:tcW w:w="4347" w:type="dxa"/>
            <w:vAlign w:val="center"/>
          </w:tcPr>
          <w:p w:rsidR="00C72DBD" w:rsidRDefault="00FC0A09">
            <w:pPr>
              <w:snapToGrid w:val="0"/>
              <w:rPr>
                <w:bCs/>
                <w:kern w:val="24"/>
                <w:szCs w:val="21"/>
              </w:rPr>
            </w:pPr>
            <w:r>
              <w:rPr>
                <w:bCs/>
                <w:kern w:val="24"/>
                <w:szCs w:val="21"/>
              </w:rPr>
              <w:t>企业实际：</w:t>
            </w:r>
            <w:r>
              <w:rPr>
                <w:bCs/>
                <w:kern w:val="24"/>
                <w:szCs w:val="21"/>
              </w:rPr>
              <w:t>100%</w:t>
            </w:r>
          </w:p>
          <w:p w:rsidR="00C72DBD" w:rsidRDefault="00FC0A09">
            <w:pPr>
              <w:snapToGrid w:val="0"/>
              <w:jc w:val="left"/>
              <w:rPr>
                <w:bCs/>
                <w:kern w:val="24"/>
                <w:sz w:val="24"/>
              </w:rPr>
            </w:pPr>
            <w:r>
              <w:rPr>
                <w:bCs/>
                <w:kern w:val="24"/>
                <w:szCs w:val="21"/>
              </w:rPr>
              <w:t>评价指标：</w:t>
            </w:r>
            <w:r>
              <w:rPr>
                <w:bCs/>
                <w:kern w:val="24"/>
                <w:szCs w:val="21"/>
              </w:rPr>
              <w:t xml:space="preserve">Ⅰ </w:t>
            </w:r>
            <w:r>
              <w:rPr>
                <w:bCs/>
                <w:kern w:val="24"/>
                <w:szCs w:val="21"/>
              </w:rPr>
              <w:t>级基准值</w:t>
            </w:r>
          </w:p>
        </w:tc>
      </w:tr>
      <w:tr w:rsidR="00C72DBD">
        <w:trPr>
          <w:cantSplit/>
          <w:trHeight w:val="850"/>
          <w:jc w:val="center"/>
        </w:trPr>
        <w:tc>
          <w:tcPr>
            <w:tcW w:w="4334" w:type="dxa"/>
            <w:vAlign w:val="center"/>
          </w:tcPr>
          <w:p w:rsidR="00C72DBD" w:rsidRDefault="00FC0A09">
            <w:pPr>
              <w:snapToGrid w:val="0"/>
              <w:ind w:left="240" w:hangingChars="100" w:hanging="240"/>
              <w:jc w:val="left"/>
              <w:rPr>
                <w:bCs/>
                <w:kern w:val="24"/>
                <w:sz w:val="24"/>
              </w:rPr>
            </w:pPr>
            <w:r>
              <w:rPr>
                <w:bCs/>
                <w:kern w:val="24"/>
                <w:sz w:val="24"/>
              </w:rPr>
              <w:t>8.</w:t>
            </w:r>
            <w:r>
              <w:rPr>
                <w:bCs/>
                <w:kern w:val="24"/>
                <w:sz w:val="24"/>
              </w:rPr>
              <w:t>铁水预处理、精炼装置、钢包等渣铁利用率，</w:t>
            </w:r>
            <w:r>
              <w:rPr>
                <w:bCs/>
                <w:kern w:val="24"/>
                <w:sz w:val="24"/>
              </w:rPr>
              <w:t>%</w:t>
            </w:r>
          </w:p>
        </w:tc>
        <w:tc>
          <w:tcPr>
            <w:tcW w:w="4347" w:type="dxa"/>
            <w:vAlign w:val="center"/>
          </w:tcPr>
          <w:p w:rsidR="00C72DBD" w:rsidRDefault="00FC0A09">
            <w:pPr>
              <w:snapToGrid w:val="0"/>
              <w:rPr>
                <w:bCs/>
                <w:kern w:val="24"/>
                <w:szCs w:val="21"/>
              </w:rPr>
            </w:pPr>
            <w:r>
              <w:rPr>
                <w:bCs/>
                <w:kern w:val="24"/>
                <w:szCs w:val="21"/>
              </w:rPr>
              <w:t>企业实际：</w:t>
            </w:r>
            <w:r>
              <w:rPr>
                <w:bCs/>
                <w:kern w:val="24"/>
                <w:szCs w:val="21"/>
              </w:rPr>
              <w:t>100%</w:t>
            </w:r>
          </w:p>
          <w:p w:rsidR="00C72DBD" w:rsidRDefault="00FC0A09">
            <w:pPr>
              <w:snapToGrid w:val="0"/>
              <w:jc w:val="left"/>
              <w:rPr>
                <w:bCs/>
                <w:kern w:val="24"/>
                <w:sz w:val="24"/>
              </w:rPr>
            </w:pPr>
            <w:r>
              <w:rPr>
                <w:bCs/>
                <w:kern w:val="24"/>
                <w:szCs w:val="21"/>
              </w:rPr>
              <w:t>评价指标：</w:t>
            </w:r>
            <w:r>
              <w:rPr>
                <w:bCs/>
                <w:kern w:val="24"/>
                <w:szCs w:val="21"/>
              </w:rPr>
              <w:t xml:space="preserve">Ⅰ </w:t>
            </w:r>
            <w:r>
              <w:rPr>
                <w:bCs/>
                <w:kern w:val="24"/>
                <w:szCs w:val="21"/>
              </w:rPr>
              <w:t>级基准值</w:t>
            </w:r>
          </w:p>
        </w:tc>
      </w:tr>
      <w:tr w:rsidR="00C72DBD">
        <w:trPr>
          <w:cantSplit/>
          <w:trHeight w:val="850"/>
          <w:jc w:val="center"/>
        </w:trPr>
        <w:tc>
          <w:tcPr>
            <w:tcW w:w="4334" w:type="dxa"/>
            <w:vAlign w:val="center"/>
          </w:tcPr>
          <w:p w:rsidR="00C72DBD" w:rsidRDefault="00FC0A09">
            <w:pPr>
              <w:snapToGrid w:val="0"/>
              <w:ind w:left="240" w:hangingChars="100" w:hanging="240"/>
              <w:jc w:val="left"/>
              <w:rPr>
                <w:bCs/>
                <w:kern w:val="24"/>
                <w:sz w:val="24"/>
              </w:rPr>
            </w:pPr>
            <w:r>
              <w:rPr>
                <w:bCs/>
                <w:kern w:val="24"/>
                <w:sz w:val="24"/>
              </w:rPr>
              <w:t>9.</w:t>
            </w:r>
            <w:r>
              <w:rPr>
                <w:bCs/>
                <w:kern w:val="24"/>
                <w:sz w:val="24"/>
              </w:rPr>
              <w:t>脱硫副产物利用率，</w:t>
            </w:r>
            <w:r>
              <w:rPr>
                <w:bCs/>
                <w:kern w:val="24"/>
                <w:sz w:val="24"/>
              </w:rPr>
              <w:t>%</w:t>
            </w:r>
          </w:p>
        </w:tc>
        <w:tc>
          <w:tcPr>
            <w:tcW w:w="4347" w:type="dxa"/>
            <w:vAlign w:val="center"/>
          </w:tcPr>
          <w:p w:rsidR="00C72DBD" w:rsidRDefault="00FC0A09">
            <w:pPr>
              <w:snapToGrid w:val="0"/>
              <w:rPr>
                <w:bCs/>
                <w:kern w:val="24"/>
                <w:szCs w:val="21"/>
              </w:rPr>
            </w:pPr>
            <w:r>
              <w:rPr>
                <w:bCs/>
                <w:kern w:val="24"/>
                <w:szCs w:val="21"/>
              </w:rPr>
              <w:t>企业实际：</w:t>
            </w:r>
            <w:r>
              <w:rPr>
                <w:bCs/>
                <w:kern w:val="24"/>
                <w:szCs w:val="21"/>
              </w:rPr>
              <w:t>100%</w:t>
            </w:r>
          </w:p>
          <w:p w:rsidR="00C72DBD" w:rsidRDefault="00FC0A09">
            <w:pPr>
              <w:snapToGrid w:val="0"/>
              <w:jc w:val="left"/>
              <w:rPr>
                <w:bCs/>
                <w:kern w:val="24"/>
                <w:sz w:val="24"/>
              </w:rPr>
            </w:pPr>
            <w:r>
              <w:rPr>
                <w:bCs/>
                <w:kern w:val="24"/>
                <w:szCs w:val="21"/>
              </w:rPr>
              <w:t>评价指标：</w:t>
            </w:r>
            <w:r>
              <w:rPr>
                <w:bCs/>
                <w:kern w:val="24"/>
                <w:szCs w:val="21"/>
              </w:rPr>
              <w:t xml:space="preserve">Ⅰ </w:t>
            </w:r>
            <w:r>
              <w:rPr>
                <w:bCs/>
                <w:kern w:val="24"/>
                <w:szCs w:val="21"/>
              </w:rPr>
              <w:t>级基准值</w:t>
            </w:r>
          </w:p>
        </w:tc>
      </w:tr>
      <w:tr w:rsidR="00C72DBD">
        <w:trPr>
          <w:cantSplit/>
          <w:trHeight w:val="1134"/>
          <w:jc w:val="center"/>
        </w:trPr>
        <w:tc>
          <w:tcPr>
            <w:tcW w:w="4334" w:type="dxa"/>
            <w:vAlign w:val="center"/>
          </w:tcPr>
          <w:p w:rsidR="00C72DBD" w:rsidRDefault="00FC0A09">
            <w:pPr>
              <w:snapToGrid w:val="0"/>
              <w:ind w:left="420" w:hanging="420"/>
              <w:jc w:val="left"/>
              <w:rPr>
                <w:bCs/>
                <w:kern w:val="24"/>
                <w:sz w:val="24"/>
              </w:rPr>
            </w:pPr>
            <w:r>
              <w:rPr>
                <w:bCs/>
                <w:kern w:val="24"/>
                <w:sz w:val="24"/>
              </w:rPr>
              <w:t>10.</w:t>
            </w:r>
            <w:r>
              <w:rPr>
                <w:bCs/>
                <w:kern w:val="24"/>
                <w:sz w:val="24"/>
              </w:rPr>
              <w:t>消纳城市污水</w:t>
            </w:r>
          </w:p>
        </w:tc>
        <w:tc>
          <w:tcPr>
            <w:tcW w:w="4347" w:type="dxa"/>
            <w:vAlign w:val="center"/>
          </w:tcPr>
          <w:p w:rsidR="00C72DBD" w:rsidRDefault="00FC0A09">
            <w:pPr>
              <w:snapToGrid w:val="0"/>
              <w:rPr>
                <w:bCs/>
                <w:kern w:val="24"/>
                <w:szCs w:val="21"/>
              </w:rPr>
            </w:pPr>
            <w:r>
              <w:rPr>
                <w:bCs/>
                <w:kern w:val="24"/>
                <w:szCs w:val="21"/>
              </w:rPr>
              <w:t>企业实际：利用中水量占企业生产取水量</w:t>
            </w:r>
            <w:r>
              <w:rPr>
                <w:rFonts w:hint="eastAsia"/>
                <w:bCs/>
                <w:kern w:val="24"/>
                <w:szCs w:val="21"/>
              </w:rPr>
              <w:t>比例为</w:t>
            </w:r>
            <w:r>
              <w:rPr>
                <w:bCs/>
                <w:kern w:val="24"/>
                <w:szCs w:val="21"/>
              </w:rPr>
              <w:t>37.11%</w:t>
            </w:r>
          </w:p>
          <w:p w:rsidR="00C72DBD" w:rsidRDefault="00FC0A09">
            <w:pPr>
              <w:snapToGrid w:val="0"/>
              <w:rPr>
                <w:bCs/>
                <w:kern w:val="24"/>
                <w:sz w:val="24"/>
              </w:rPr>
            </w:pPr>
            <w:r>
              <w:rPr>
                <w:bCs/>
                <w:kern w:val="24"/>
                <w:szCs w:val="21"/>
              </w:rPr>
              <w:t>评价指标：</w:t>
            </w:r>
            <w:r>
              <w:rPr>
                <w:bCs/>
                <w:kern w:val="24"/>
                <w:szCs w:val="21"/>
              </w:rPr>
              <w:t xml:space="preserve">Ⅰ </w:t>
            </w:r>
            <w:r>
              <w:rPr>
                <w:bCs/>
                <w:kern w:val="24"/>
                <w:szCs w:val="21"/>
              </w:rPr>
              <w:t>级基准值</w:t>
            </w:r>
          </w:p>
        </w:tc>
      </w:tr>
      <w:tr w:rsidR="00C72DBD">
        <w:trPr>
          <w:cantSplit/>
          <w:trHeight w:val="567"/>
          <w:jc w:val="center"/>
        </w:trPr>
        <w:tc>
          <w:tcPr>
            <w:tcW w:w="8681" w:type="dxa"/>
            <w:gridSpan w:val="2"/>
            <w:vAlign w:val="center"/>
          </w:tcPr>
          <w:p w:rsidR="00C72DBD" w:rsidRDefault="00FC0A09">
            <w:pPr>
              <w:snapToGrid w:val="0"/>
              <w:rPr>
                <w:kern w:val="24"/>
                <w:sz w:val="24"/>
              </w:rPr>
            </w:pPr>
            <w:r>
              <w:rPr>
                <w:kern w:val="24"/>
                <w:sz w:val="24"/>
              </w:rPr>
              <w:t>七、清洁生产管理指标</w:t>
            </w:r>
          </w:p>
        </w:tc>
      </w:tr>
      <w:tr w:rsidR="00C72DBD">
        <w:trPr>
          <w:cantSplit/>
          <w:trHeight w:val="1134"/>
          <w:jc w:val="center"/>
        </w:trPr>
        <w:tc>
          <w:tcPr>
            <w:tcW w:w="4334" w:type="dxa"/>
            <w:vAlign w:val="center"/>
          </w:tcPr>
          <w:p w:rsidR="00C72DBD" w:rsidRDefault="00FC0A09">
            <w:pPr>
              <w:snapToGrid w:val="0"/>
              <w:ind w:left="240" w:hangingChars="100" w:hanging="240"/>
              <w:jc w:val="left"/>
              <w:rPr>
                <w:bCs/>
                <w:kern w:val="24"/>
                <w:sz w:val="24"/>
              </w:rPr>
            </w:pPr>
            <w:r>
              <w:rPr>
                <w:bCs/>
                <w:kern w:val="24"/>
                <w:sz w:val="24"/>
              </w:rPr>
              <w:t>1.</w:t>
            </w:r>
            <w:r>
              <w:rPr>
                <w:bCs/>
                <w:kern w:val="24"/>
                <w:sz w:val="24"/>
              </w:rPr>
              <w:t>产业政策符合性</w:t>
            </w:r>
            <w:r>
              <w:rPr>
                <w:bCs/>
                <w:kern w:val="24"/>
                <w:sz w:val="24"/>
              </w:rPr>
              <w:t>*</w:t>
            </w:r>
          </w:p>
        </w:tc>
        <w:tc>
          <w:tcPr>
            <w:tcW w:w="4347" w:type="dxa"/>
            <w:vAlign w:val="center"/>
          </w:tcPr>
          <w:p w:rsidR="00C72DBD" w:rsidRDefault="00FC0A09">
            <w:pPr>
              <w:snapToGrid w:val="0"/>
              <w:jc w:val="left"/>
              <w:rPr>
                <w:bCs/>
                <w:kern w:val="24"/>
                <w:szCs w:val="21"/>
              </w:rPr>
            </w:pPr>
            <w:r>
              <w:rPr>
                <w:bCs/>
                <w:kern w:val="24"/>
                <w:szCs w:val="21"/>
              </w:rPr>
              <w:t>企业实际：未采用国家明令禁止和淘汰的生产工艺、装备，未生产国家明令禁止的产品</w:t>
            </w:r>
          </w:p>
          <w:p w:rsidR="00C72DBD" w:rsidRDefault="00FC0A09">
            <w:pPr>
              <w:snapToGrid w:val="0"/>
              <w:jc w:val="left"/>
              <w:rPr>
                <w:bCs/>
                <w:kern w:val="24"/>
                <w:szCs w:val="21"/>
              </w:rPr>
            </w:pPr>
            <w:r>
              <w:rPr>
                <w:bCs/>
                <w:kern w:val="24"/>
                <w:szCs w:val="21"/>
              </w:rPr>
              <w:t>评价指标：</w:t>
            </w:r>
            <w:r>
              <w:rPr>
                <w:bCs/>
                <w:kern w:val="24"/>
                <w:szCs w:val="21"/>
              </w:rPr>
              <w:t xml:space="preserve">Ⅰ </w:t>
            </w:r>
            <w:r>
              <w:rPr>
                <w:bCs/>
                <w:kern w:val="24"/>
                <w:szCs w:val="21"/>
              </w:rPr>
              <w:t>级基准值</w:t>
            </w:r>
          </w:p>
        </w:tc>
      </w:tr>
      <w:tr w:rsidR="00C72DBD">
        <w:trPr>
          <w:cantSplit/>
          <w:trHeight w:val="1134"/>
          <w:jc w:val="center"/>
        </w:trPr>
        <w:tc>
          <w:tcPr>
            <w:tcW w:w="4334" w:type="dxa"/>
            <w:vAlign w:val="center"/>
          </w:tcPr>
          <w:p w:rsidR="00C72DBD" w:rsidRDefault="00FC0A09">
            <w:pPr>
              <w:snapToGrid w:val="0"/>
              <w:ind w:left="240" w:hangingChars="100" w:hanging="240"/>
              <w:jc w:val="left"/>
              <w:rPr>
                <w:bCs/>
                <w:kern w:val="24"/>
                <w:sz w:val="24"/>
              </w:rPr>
            </w:pPr>
            <w:r>
              <w:rPr>
                <w:bCs/>
                <w:kern w:val="24"/>
                <w:sz w:val="24"/>
              </w:rPr>
              <w:t>2.</w:t>
            </w:r>
            <w:r>
              <w:rPr>
                <w:bCs/>
                <w:kern w:val="24"/>
                <w:sz w:val="24"/>
              </w:rPr>
              <w:t>达标排放</w:t>
            </w:r>
            <w:r>
              <w:rPr>
                <w:bCs/>
                <w:kern w:val="24"/>
                <w:sz w:val="24"/>
              </w:rPr>
              <w:t>*</w:t>
            </w:r>
          </w:p>
        </w:tc>
        <w:tc>
          <w:tcPr>
            <w:tcW w:w="4347" w:type="dxa"/>
            <w:vAlign w:val="center"/>
          </w:tcPr>
          <w:p w:rsidR="00C72DBD" w:rsidRDefault="00FC0A09">
            <w:pPr>
              <w:snapToGrid w:val="0"/>
              <w:jc w:val="left"/>
              <w:rPr>
                <w:bCs/>
                <w:kern w:val="24"/>
                <w:szCs w:val="21"/>
              </w:rPr>
            </w:pPr>
            <w:r>
              <w:rPr>
                <w:bCs/>
                <w:kern w:val="24"/>
                <w:szCs w:val="21"/>
              </w:rPr>
              <w:t>企业实际：污染物排放浓度满足国家及地方政府相关规定要求，完成超低排放改造</w:t>
            </w:r>
          </w:p>
          <w:p w:rsidR="00C72DBD" w:rsidRDefault="00FC0A09">
            <w:pPr>
              <w:snapToGrid w:val="0"/>
              <w:jc w:val="left"/>
              <w:rPr>
                <w:bCs/>
                <w:kern w:val="24"/>
                <w:szCs w:val="21"/>
              </w:rPr>
            </w:pPr>
            <w:r>
              <w:rPr>
                <w:bCs/>
                <w:kern w:val="24"/>
                <w:szCs w:val="21"/>
              </w:rPr>
              <w:t>评价指标：</w:t>
            </w:r>
            <w:r>
              <w:rPr>
                <w:bCs/>
                <w:kern w:val="24"/>
                <w:szCs w:val="21"/>
              </w:rPr>
              <w:t xml:space="preserve">Ⅰ </w:t>
            </w:r>
            <w:r>
              <w:rPr>
                <w:bCs/>
                <w:kern w:val="24"/>
                <w:szCs w:val="21"/>
              </w:rPr>
              <w:t>级基准值</w:t>
            </w:r>
          </w:p>
        </w:tc>
      </w:tr>
      <w:tr w:rsidR="00C72DBD">
        <w:trPr>
          <w:cantSplit/>
          <w:trHeight w:val="1134"/>
          <w:jc w:val="center"/>
        </w:trPr>
        <w:tc>
          <w:tcPr>
            <w:tcW w:w="4334" w:type="dxa"/>
            <w:vAlign w:val="center"/>
          </w:tcPr>
          <w:p w:rsidR="00C72DBD" w:rsidRDefault="00FC0A09">
            <w:pPr>
              <w:snapToGrid w:val="0"/>
              <w:ind w:left="240" w:hangingChars="100" w:hanging="240"/>
              <w:jc w:val="left"/>
              <w:rPr>
                <w:bCs/>
                <w:kern w:val="24"/>
                <w:sz w:val="24"/>
              </w:rPr>
            </w:pPr>
            <w:r>
              <w:rPr>
                <w:bCs/>
                <w:kern w:val="24"/>
                <w:sz w:val="24"/>
              </w:rPr>
              <w:t>3.</w:t>
            </w:r>
            <w:r>
              <w:rPr>
                <w:bCs/>
                <w:kern w:val="24"/>
                <w:sz w:val="24"/>
              </w:rPr>
              <w:t>总量控制</w:t>
            </w:r>
            <w:r>
              <w:rPr>
                <w:bCs/>
                <w:kern w:val="24"/>
                <w:sz w:val="24"/>
              </w:rPr>
              <w:t>*</w:t>
            </w:r>
          </w:p>
        </w:tc>
        <w:tc>
          <w:tcPr>
            <w:tcW w:w="4347" w:type="dxa"/>
            <w:vAlign w:val="center"/>
          </w:tcPr>
          <w:p w:rsidR="00C72DBD" w:rsidRDefault="00FC0A09">
            <w:pPr>
              <w:snapToGrid w:val="0"/>
              <w:jc w:val="left"/>
              <w:rPr>
                <w:bCs/>
                <w:kern w:val="24"/>
                <w:szCs w:val="21"/>
              </w:rPr>
            </w:pPr>
            <w:r>
              <w:rPr>
                <w:bCs/>
                <w:kern w:val="24"/>
                <w:szCs w:val="21"/>
              </w:rPr>
              <w:t>企业实际：企业污染物排放总量及能源消耗总量满足国家及地方政府相关规定要求</w:t>
            </w:r>
          </w:p>
          <w:p w:rsidR="00C72DBD" w:rsidRDefault="00FC0A09">
            <w:pPr>
              <w:snapToGrid w:val="0"/>
              <w:jc w:val="left"/>
              <w:rPr>
                <w:bCs/>
                <w:kern w:val="24"/>
                <w:szCs w:val="21"/>
              </w:rPr>
            </w:pPr>
            <w:r>
              <w:rPr>
                <w:bCs/>
                <w:kern w:val="24"/>
                <w:szCs w:val="21"/>
              </w:rPr>
              <w:t>评价指标：</w:t>
            </w:r>
            <w:r>
              <w:rPr>
                <w:bCs/>
                <w:kern w:val="24"/>
                <w:szCs w:val="21"/>
              </w:rPr>
              <w:t xml:space="preserve">Ⅰ </w:t>
            </w:r>
            <w:r>
              <w:rPr>
                <w:bCs/>
                <w:kern w:val="24"/>
                <w:szCs w:val="21"/>
              </w:rPr>
              <w:t>级基准值</w:t>
            </w:r>
          </w:p>
        </w:tc>
      </w:tr>
      <w:tr w:rsidR="00C72DBD">
        <w:trPr>
          <w:cantSplit/>
          <w:trHeight w:val="1417"/>
          <w:jc w:val="center"/>
        </w:trPr>
        <w:tc>
          <w:tcPr>
            <w:tcW w:w="4334" w:type="dxa"/>
            <w:vAlign w:val="center"/>
          </w:tcPr>
          <w:p w:rsidR="00C72DBD" w:rsidRDefault="00FC0A09">
            <w:pPr>
              <w:snapToGrid w:val="0"/>
              <w:ind w:left="240" w:hangingChars="100" w:hanging="240"/>
              <w:jc w:val="left"/>
              <w:rPr>
                <w:bCs/>
                <w:kern w:val="24"/>
                <w:sz w:val="24"/>
              </w:rPr>
            </w:pPr>
            <w:r>
              <w:rPr>
                <w:bCs/>
                <w:kern w:val="24"/>
                <w:sz w:val="24"/>
              </w:rPr>
              <w:t>4.</w:t>
            </w:r>
            <w:r>
              <w:rPr>
                <w:bCs/>
                <w:kern w:val="24"/>
                <w:sz w:val="24"/>
              </w:rPr>
              <w:t>环境污染事故预防</w:t>
            </w:r>
            <w:r>
              <w:rPr>
                <w:bCs/>
                <w:kern w:val="24"/>
                <w:sz w:val="24"/>
              </w:rPr>
              <w:t>*</w:t>
            </w:r>
          </w:p>
        </w:tc>
        <w:tc>
          <w:tcPr>
            <w:tcW w:w="4347" w:type="dxa"/>
            <w:vAlign w:val="center"/>
          </w:tcPr>
          <w:p w:rsidR="00C72DBD" w:rsidRDefault="00FC0A09">
            <w:pPr>
              <w:snapToGrid w:val="0"/>
              <w:jc w:val="left"/>
              <w:rPr>
                <w:bCs/>
                <w:kern w:val="24"/>
                <w:szCs w:val="21"/>
              </w:rPr>
            </w:pPr>
            <w:r>
              <w:rPr>
                <w:bCs/>
                <w:kern w:val="24"/>
                <w:szCs w:val="21"/>
              </w:rPr>
              <w:t>企业实际：按照国家相关规定要求，建立健全环境管理制度及污染事故防范措施，杜绝重大环境污染事故发生</w:t>
            </w:r>
          </w:p>
          <w:p w:rsidR="00C72DBD" w:rsidRDefault="00FC0A09">
            <w:pPr>
              <w:snapToGrid w:val="0"/>
              <w:jc w:val="left"/>
              <w:rPr>
                <w:bCs/>
                <w:kern w:val="24"/>
                <w:szCs w:val="21"/>
              </w:rPr>
            </w:pPr>
            <w:r>
              <w:rPr>
                <w:bCs/>
                <w:kern w:val="24"/>
                <w:szCs w:val="21"/>
              </w:rPr>
              <w:t>评价指标：</w:t>
            </w:r>
            <w:r>
              <w:rPr>
                <w:bCs/>
                <w:kern w:val="24"/>
                <w:szCs w:val="21"/>
              </w:rPr>
              <w:t xml:space="preserve">Ⅰ </w:t>
            </w:r>
            <w:r>
              <w:rPr>
                <w:bCs/>
                <w:kern w:val="24"/>
                <w:szCs w:val="21"/>
              </w:rPr>
              <w:t>级基准值</w:t>
            </w:r>
          </w:p>
        </w:tc>
      </w:tr>
      <w:tr w:rsidR="00C72DBD">
        <w:trPr>
          <w:cantSplit/>
          <w:trHeight w:val="1984"/>
          <w:jc w:val="center"/>
        </w:trPr>
        <w:tc>
          <w:tcPr>
            <w:tcW w:w="4334" w:type="dxa"/>
            <w:vAlign w:val="center"/>
          </w:tcPr>
          <w:p w:rsidR="00C72DBD" w:rsidRDefault="00FC0A09">
            <w:pPr>
              <w:snapToGrid w:val="0"/>
              <w:ind w:left="240" w:hangingChars="100" w:hanging="240"/>
              <w:jc w:val="left"/>
              <w:rPr>
                <w:bCs/>
                <w:kern w:val="24"/>
                <w:sz w:val="24"/>
              </w:rPr>
            </w:pPr>
            <w:r>
              <w:rPr>
                <w:bCs/>
                <w:kern w:val="24"/>
                <w:sz w:val="24"/>
              </w:rPr>
              <w:t>5.</w:t>
            </w:r>
            <w:r>
              <w:rPr>
                <w:bCs/>
                <w:kern w:val="24"/>
                <w:sz w:val="24"/>
              </w:rPr>
              <w:t>建立健全环境管理体系</w:t>
            </w:r>
          </w:p>
        </w:tc>
        <w:tc>
          <w:tcPr>
            <w:tcW w:w="4347" w:type="dxa"/>
            <w:vAlign w:val="center"/>
          </w:tcPr>
          <w:p w:rsidR="00C72DBD" w:rsidRDefault="00FC0A09">
            <w:pPr>
              <w:snapToGrid w:val="0"/>
              <w:jc w:val="left"/>
              <w:rPr>
                <w:bCs/>
                <w:kern w:val="24"/>
                <w:szCs w:val="21"/>
              </w:rPr>
            </w:pPr>
            <w:r>
              <w:rPr>
                <w:bCs/>
                <w:kern w:val="24"/>
                <w:szCs w:val="21"/>
              </w:rPr>
              <w:t>企业实际：建立有</w:t>
            </w:r>
            <w:r>
              <w:rPr>
                <w:bCs/>
                <w:kern w:val="24"/>
                <w:szCs w:val="21"/>
              </w:rPr>
              <w:t xml:space="preserve"> GB/T24001 </w:t>
            </w:r>
            <w:r>
              <w:rPr>
                <w:bCs/>
                <w:kern w:val="24"/>
                <w:szCs w:val="21"/>
              </w:rPr>
              <w:t>环境管理体系，取得</w:t>
            </w:r>
            <w:r>
              <w:rPr>
                <w:bCs/>
                <w:kern w:val="24"/>
                <w:szCs w:val="21"/>
              </w:rPr>
              <w:t>ISO</w:t>
            </w:r>
            <w:r>
              <w:rPr>
                <w:rFonts w:hint="eastAsia"/>
                <w:bCs/>
                <w:kern w:val="24"/>
                <w:szCs w:val="21"/>
              </w:rPr>
              <w:t xml:space="preserve"> </w:t>
            </w:r>
            <w:r>
              <w:rPr>
                <w:bCs/>
                <w:kern w:val="24"/>
                <w:szCs w:val="21"/>
              </w:rPr>
              <w:t>14001</w:t>
            </w:r>
            <w:r>
              <w:rPr>
                <w:bCs/>
                <w:kern w:val="24"/>
                <w:szCs w:val="21"/>
              </w:rPr>
              <w:t>认证，能有效运行；全部完成年度环境目标、指标和环境管理方案，并达到环境持续改进的要求；环境管理手册、程序文件及作业文件齐备、有效。</w:t>
            </w:r>
          </w:p>
          <w:p w:rsidR="00C72DBD" w:rsidRDefault="00FC0A09">
            <w:pPr>
              <w:snapToGrid w:val="0"/>
              <w:jc w:val="left"/>
              <w:rPr>
                <w:bCs/>
                <w:kern w:val="24"/>
                <w:szCs w:val="21"/>
              </w:rPr>
            </w:pPr>
            <w:r>
              <w:rPr>
                <w:bCs/>
                <w:kern w:val="24"/>
                <w:szCs w:val="21"/>
              </w:rPr>
              <w:t>评价指标：</w:t>
            </w:r>
            <w:r>
              <w:rPr>
                <w:bCs/>
                <w:kern w:val="24"/>
                <w:szCs w:val="21"/>
              </w:rPr>
              <w:t xml:space="preserve">Ⅰ </w:t>
            </w:r>
            <w:r>
              <w:rPr>
                <w:bCs/>
                <w:kern w:val="24"/>
                <w:szCs w:val="21"/>
              </w:rPr>
              <w:t>级基准值</w:t>
            </w:r>
          </w:p>
        </w:tc>
      </w:tr>
      <w:tr w:rsidR="00C72DBD">
        <w:trPr>
          <w:cantSplit/>
          <w:trHeight w:val="1417"/>
          <w:jc w:val="center"/>
        </w:trPr>
        <w:tc>
          <w:tcPr>
            <w:tcW w:w="4334" w:type="dxa"/>
            <w:vAlign w:val="center"/>
          </w:tcPr>
          <w:p w:rsidR="00C72DBD" w:rsidRDefault="00FC0A09">
            <w:pPr>
              <w:snapToGrid w:val="0"/>
              <w:ind w:left="240" w:hangingChars="100" w:hanging="240"/>
              <w:jc w:val="left"/>
              <w:rPr>
                <w:bCs/>
                <w:kern w:val="24"/>
                <w:sz w:val="24"/>
              </w:rPr>
            </w:pPr>
            <w:r>
              <w:rPr>
                <w:bCs/>
                <w:kern w:val="24"/>
                <w:sz w:val="24"/>
              </w:rPr>
              <w:t>6.</w:t>
            </w:r>
            <w:r>
              <w:rPr>
                <w:bCs/>
                <w:kern w:val="24"/>
                <w:sz w:val="24"/>
              </w:rPr>
              <w:t>危险废物安全处置</w:t>
            </w:r>
          </w:p>
        </w:tc>
        <w:tc>
          <w:tcPr>
            <w:tcW w:w="4347" w:type="dxa"/>
            <w:vAlign w:val="center"/>
          </w:tcPr>
          <w:p w:rsidR="00C72DBD" w:rsidRDefault="00FC0A09">
            <w:pPr>
              <w:snapToGrid w:val="0"/>
              <w:jc w:val="left"/>
              <w:rPr>
                <w:bCs/>
                <w:kern w:val="24"/>
                <w:szCs w:val="21"/>
              </w:rPr>
            </w:pPr>
            <w:r>
              <w:rPr>
                <w:bCs/>
                <w:kern w:val="24"/>
                <w:szCs w:val="21"/>
              </w:rPr>
              <w:t>企业实际：建有《危险废物管理制度》，台账记录，转移联单齐全。无害化处理后综合利用率</w:t>
            </w:r>
            <w:r>
              <w:rPr>
                <w:bCs/>
                <w:kern w:val="24"/>
                <w:szCs w:val="21"/>
              </w:rPr>
              <w:t>100%</w:t>
            </w:r>
            <w:r>
              <w:rPr>
                <w:bCs/>
                <w:kern w:val="24"/>
                <w:szCs w:val="21"/>
              </w:rPr>
              <w:t>。</w:t>
            </w:r>
          </w:p>
          <w:p w:rsidR="00C72DBD" w:rsidRDefault="00FC0A09">
            <w:pPr>
              <w:snapToGrid w:val="0"/>
              <w:jc w:val="left"/>
              <w:rPr>
                <w:bCs/>
                <w:kern w:val="24"/>
                <w:szCs w:val="21"/>
              </w:rPr>
            </w:pPr>
            <w:r>
              <w:rPr>
                <w:bCs/>
                <w:kern w:val="24"/>
                <w:szCs w:val="21"/>
              </w:rPr>
              <w:t>评价指标：</w:t>
            </w:r>
            <w:r>
              <w:rPr>
                <w:bCs/>
                <w:kern w:val="24"/>
                <w:szCs w:val="21"/>
              </w:rPr>
              <w:t xml:space="preserve">Ⅰ </w:t>
            </w:r>
            <w:r>
              <w:rPr>
                <w:bCs/>
                <w:kern w:val="24"/>
                <w:szCs w:val="21"/>
              </w:rPr>
              <w:t>级基准值</w:t>
            </w:r>
          </w:p>
        </w:tc>
      </w:tr>
      <w:tr w:rsidR="00C72DBD">
        <w:trPr>
          <w:cantSplit/>
          <w:trHeight w:val="2381"/>
          <w:jc w:val="center"/>
        </w:trPr>
        <w:tc>
          <w:tcPr>
            <w:tcW w:w="4334" w:type="dxa"/>
            <w:vAlign w:val="center"/>
          </w:tcPr>
          <w:p w:rsidR="00C72DBD" w:rsidRDefault="00FC0A09">
            <w:pPr>
              <w:snapToGrid w:val="0"/>
              <w:ind w:left="240" w:hangingChars="100" w:hanging="240"/>
              <w:jc w:val="left"/>
              <w:rPr>
                <w:bCs/>
                <w:kern w:val="24"/>
                <w:sz w:val="24"/>
              </w:rPr>
            </w:pPr>
            <w:r>
              <w:rPr>
                <w:bCs/>
                <w:kern w:val="24"/>
                <w:sz w:val="24"/>
              </w:rPr>
              <w:t>7.</w:t>
            </w:r>
            <w:r>
              <w:rPr>
                <w:bCs/>
                <w:kern w:val="24"/>
                <w:sz w:val="24"/>
              </w:rPr>
              <w:t>清洁生产组织机构及管理制度</w:t>
            </w:r>
          </w:p>
        </w:tc>
        <w:tc>
          <w:tcPr>
            <w:tcW w:w="4347" w:type="dxa"/>
            <w:vAlign w:val="center"/>
          </w:tcPr>
          <w:p w:rsidR="00C72DBD" w:rsidRDefault="00FC0A09">
            <w:pPr>
              <w:snapToGrid w:val="0"/>
              <w:jc w:val="left"/>
              <w:rPr>
                <w:bCs/>
                <w:kern w:val="24"/>
                <w:szCs w:val="21"/>
              </w:rPr>
            </w:pPr>
            <w:r>
              <w:rPr>
                <w:bCs/>
                <w:kern w:val="24"/>
                <w:szCs w:val="21"/>
              </w:rPr>
              <w:t>企业实际：建有专门负责清洁生产的领导机构，各成员单位及主管人员职责分工明确；有健全的清洁生产管理制度和奖励管理办法，有执行情况检查记录；制定有清洁生产工作规划及年度工作计划，对规划、计划提出的目标、指标、清洁生产方案，认真组织落实；目标、指标、方案实施率</w:t>
            </w:r>
            <w:r>
              <w:rPr>
                <w:bCs/>
                <w:kern w:val="24"/>
                <w:szCs w:val="21"/>
              </w:rPr>
              <w:t>100%</w:t>
            </w:r>
            <w:r>
              <w:rPr>
                <w:bCs/>
                <w:kern w:val="24"/>
                <w:szCs w:val="21"/>
              </w:rPr>
              <w:t>。</w:t>
            </w:r>
          </w:p>
          <w:p w:rsidR="00C72DBD" w:rsidRDefault="00FC0A09">
            <w:pPr>
              <w:snapToGrid w:val="0"/>
              <w:jc w:val="left"/>
              <w:rPr>
                <w:bCs/>
                <w:kern w:val="24"/>
                <w:szCs w:val="21"/>
              </w:rPr>
            </w:pPr>
            <w:r>
              <w:rPr>
                <w:bCs/>
                <w:kern w:val="24"/>
                <w:szCs w:val="21"/>
              </w:rPr>
              <w:t>评价指标：</w:t>
            </w:r>
            <w:r>
              <w:rPr>
                <w:bCs/>
                <w:kern w:val="24"/>
                <w:szCs w:val="21"/>
              </w:rPr>
              <w:t xml:space="preserve">Ⅰ </w:t>
            </w:r>
            <w:r>
              <w:rPr>
                <w:bCs/>
                <w:kern w:val="24"/>
                <w:szCs w:val="21"/>
              </w:rPr>
              <w:t>级基准值</w:t>
            </w:r>
          </w:p>
        </w:tc>
      </w:tr>
      <w:tr w:rsidR="00C72DBD">
        <w:trPr>
          <w:cantSplit/>
          <w:trHeight w:val="2268"/>
          <w:jc w:val="center"/>
        </w:trPr>
        <w:tc>
          <w:tcPr>
            <w:tcW w:w="4334" w:type="dxa"/>
            <w:vAlign w:val="center"/>
          </w:tcPr>
          <w:p w:rsidR="00C72DBD" w:rsidRDefault="00FC0A09">
            <w:pPr>
              <w:snapToGrid w:val="0"/>
              <w:ind w:left="240" w:hangingChars="100" w:hanging="240"/>
              <w:jc w:val="left"/>
              <w:rPr>
                <w:bCs/>
                <w:kern w:val="24"/>
                <w:sz w:val="24"/>
              </w:rPr>
            </w:pPr>
            <w:r>
              <w:rPr>
                <w:bCs/>
                <w:kern w:val="24"/>
                <w:sz w:val="24"/>
              </w:rPr>
              <w:t>8.</w:t>
            </w:r>
            <w:r>
              <w:rPr>
                <w:bCs/>
                <w:kern w:val="24"/>
                <w:sz w:val="24"/>
              </w:rPr>
              <w:t>清洁生产审核活动</w:t>
            </w:r>
          </w:p>
        </w:tc>
        <w:tc>
          <w:tcPr>
            <w:tcW w:w="4347" w:type="dxa"/>
            <w:vAlign w:val="center"/>
          </w:tcPr>
          <w:p w:rsidR="00C72DBD" w:rsidRDefault="00FC0A09">
            <w:pPr>
              <w:snapToGrid w:val="0"/>
              <w:jc w:val="left"/>
              <w:rPr>
                <w:bCs/>
                <w:kern w:val="24"/>
                <w:szCs w:val="21"/>
              </w:rPr>
            </w:pPr>
            <w:r>
              <w:rPr>
                <w:bCs/>
                <w:kern w:val="24"/>
                <w:szCs w:val="21"/>
              </w:rPr>
              <w:t>企业实际：按政府规定要求，制订有清洁生产审核工作计划，对钢铁生产全流程（全工序）</w:t>
            </w:r>
            <w:r>
              <w:rPr>
                <w:bCs/>
                <w:kern w:val="24"/>
              </w:rPr>
              <w:t>于</w:t>
            </w:r>
            <w:r>
              <w:rPr>
                <w:bCs/>
                <w:kern w:val="24"/>
              </w:rPr>
              <w:t>2016</w:t>
            </w:r>
            <w:r>
              <w:rPr>
                <w:bCs/>
                <w:kern w:val="24"/>
              </w:rPr>
              <w:t>、</w:t>
            </w:r>
            <w:r>
              <w:rPr>
                <w:bCs/>
                <w:kern w:val="24"/>
              </w:rPr>
              <w:t>2019</w:t>
            </w:r>
            <w:r>
              <w:rPr>
                <w:bCs/>
                <w:kern w:val="24"/>
              </w:rPr>
              <w:t>年</w:t>
            </w:r>
            <w:r>
              <w:rPr>
                <w:bCs/>
                <w:kern w:val="24"/>
                <w:szCs w:val="21"/>
              </w:rPr>
              <w:t>定期开展清洁生产审核活动，</w:t>
            </w:r>
            <w:r>
              <w:rPr>
                <w:bCs/>
                <w:kern w:val="24"/>
                <w:szCs w:val="21"/>
              </w:rPr>
              <w:t>2024</w:t>
            </w:r>
            <w:r>
              <w:rPr>
                <w:bCs/>
                <w:kern w:val="24"/>
                <w:szCs w:val="21"/>
              </w:rPr>
              <w:t>年清洁生产审核正在进行中，中、高费方案实施率</w:t>
            </w:r>
            <w:r>
              <w:rPr>
                <w:bCs/>
                <w:kern w:val="24"/>
                <w:szCs w:val="21"/>
              </w:rPr>
              <w:t>100%</w:t>
            </w:r>
            <w:r>
              <w:rPr>
                <w:bCs/>
                <w:kern w:val="24"/>
                <w:szCs w:val="21"/>
              </w:rPr>
              <w:t>，节能、降耗、减污取得显著成效。</w:t>
            </w:r>
          </w:p>
          <w:p w:rsidR="00C72DBD" w:rsidRDefault="00FC0A09">
            <w:pPr>
              <w:snapToGrid w:val="0"/>
              <w:jc w:val="left"/>
              <w:rPr>
                <w:bCs/>
                <w:kern w:val="24"/>
                <w:szCs w:val="21"/>
              </w:rPr>
            </w:pPr>
            <w:r>
              <w:rPr>
                <w:bCs/>
                <w:kern w:val="24"/>
                <w:szCs w:val="21"/>
              </w:rPr>
              <w:t>评价指标：</w:t>
            </w:r>
            <w:r>
              <w:rPr>
                <w:bCs/>
                <w:kern w:val="24"/>
                <w:szCs w:val="21"/>
              </w:rPr>
              <w:t xml:space="preserve">Ⅰ </w:t>
            </w:r>
            <w:r>
              <w:rPr>
                <w:bCs/>
                <w:kern w:val="24"/>
                <w:szCs w:val="21"/>
              </w:rPr>
              <w:t>级基准值</w:t>
            </w:r>
          </w:p>
        </w:tc>
      </w:tr>
      <w:tr w:rsidR="00C72DBD">
        <w:trPr>
          <w:cantSplit/>
          <w:trHeight w:val="1984"/>
          <w:jc w:val="center"/>
        </w:trPr>
        <w:tc>
          <w:tcPr>
            <w:tcW w:w="4334" w:type="dxa"/>
            <w:vAlign w:val="center"/>
          </w:tcPr>
          <w:p w:rsidR="00C72DBD" w:rsidRDefault="00FC0A09">
            <w:pPr>
              <w:snapToGrid w:val="0"/>
              <w:ind w:left="240" w:hangingChars="100" w:hanging="240"/>
              <w:jc w:val="left"/>
              <w:rPr>
                <w:bCs/>
                <w:kern w:val="24"/>
                <w:sz w:val="24"/>
              </w:rPr>
            </w:pPr>
            <w:r>
              <w:rPr>
                <w:bCs/>
                <w:kern w:val="24"/>
                <w:sz w:val="24"/>
              </w:rPr>
              <w:t>9.</w:t>
            </w:r>
            <w:r>
              <w:rPr>
                <w:bCs/>
                <w:kern w:val="24"/>
                <w:sz w:val="24"/>
              </w:rPr>
              <w:t>能源管理机构、管理制度、能源管控中心</w:t>
            </w:r>
          </w:p>
        </w:tc>
        <w:tc>
          <w:tcPr>
            <w:tcW w:w="4347" w:type="dxa"/>
            <w:vAlign w:val="center"/>
          </w:tcPr>
          <w:p w:rsidR="00C72DBD" w:rsidRDefault="00FC0A09">
            <w:pPr>
              <w:snapToGrid w:val="0"/>
              <w:jc w:val="left"/>
              <w:rPr>
                <w:bCs/>
                <w:kern w:val="24"/>
              </w:rPr>
            </w:pPr>
            <w:r>
              <w:rPr>
                <w:bCs/>
                <w:kern w:val="24"/>
                <w:szCs w:val="21"/>
              </w:rPr>
              <w:t>企业实际：</w:t>
            </w:r>
            <w:r>
              <w:rPr>
                <w:bCs/>
                <w:kern w:val="24"/>
              </w:rPr>
              <w:t>有健全的能源管理机构、管理制度，各单位及主管人员职责分工明确，并有效发挥作用；建立有能源管理体系并有效运行；建立有能源管理控制中心，制定有企业用能和节能发展规划，年度管控目标完成率大于</w:t>
            </w:r>
            <w:r>
              <w:rPr>
                <w:bCs/>
                <w:kern w:val="24"/>
              </w:rPr>
              <w:t>90%</w:t>
            </w:r>
            <w:r>
              <w:rPr>
                <w:bCs/>
                <w:kern w:val="24"/>
              </w:rPr>
              <w:t>。</w:t>
            </w:r>
          </w:p>
          <w:p w:rsidR="00C72DBD" w:rsidRDefault="00FC0A09">
            <w:pPr>
              <w:snapToGrid w:val="0"/>
              <w:jc w:val="left"/>
              <w:rPr>
                <w:bCs/>
                <w:kern w:val="24"/>
              </w:rPr>
            </w:pPr>
            <w:r>
              <w:rPr>
                <w:bCs/>
                <w:kern w:val="24"/>
                <w:szCs w:val="21"/>
              </w:rPr>
              <w:t>评价指标：</w:t>
            </w:r>
            <w:r>
              <w:rPr>
                <w:bCs/>
                <w:kern w:val="24"/>
                <w:szCs w:val="21"/>
              </w:rPr>
              <w:t xml:space="preserve">Ⅰ </w:t>
            </w:r>
            <w:r>
              <w:rPr>
                <w:bCs/>
                <w:kern w:val="24"/>
                <w:szCs w:val="21"/>
              </w:rPr>
              <w:t>级基准值</w:t>
            </w:r>
          </w:p>
        </w:tc>
      </w:tr>
      <w:tr w:rsidR="00C72DBD">
        <w:trPr>
          <w:cantSplit/>
          <w:trHeight w:val="1701"/>
          <w:jc w:val="center"/>
        </w:trPr>
        <w:tc>
          <w:tcPr>
            <w:tcW w:w="4334" w:type="dxa"/>
            <w:vAlign w:val="center"/>
          </w:tcPr>
          <w:p w:rsidR="00C72DBD" w:rsidRDefault="00FC0A09">
            <w:pPr>
              <w:snapToGrid w:val="0"/>
              <w:ind w:left="420" w:hanging="420"/>
              <w:jc w:val="left"/>
              <w:rPr>
                <w:bCs/>
                <w:kern w:val="24"/>
                <w:sz w:val="24"/>
              </w:rPr>
            </w:pPr>
            <w:r>
              <w:rPr>
                <w:bCs/>
                <w:kern w:val="24"/>
                <w:sz w:val="24"/>
              </w:rPr>
              <w:t>10.</w:t>
            </w:r>
            <w:r>
              <w:rPr>
                <w:bCs/>
                <w:kern w:val="24"/>
                <w:sz w:val="24"/>
              </w:rPr>
              <w:t>开展节能活动</w:t>
            </w:r>
          </w:p>
        </w:tc>
        <w:tc>
          <w:tcPr>
            <w:tcW w:w="4347" w:type="dxa"/>
            <w:vAlign w:val="center"/>
          </w:tcPr>
          <w:p w:rsidR="00C72DBD" w:rsidRDefault="00FC0A09">
            <w:pPr>
              <w:snapToGrid w:val="0"/>
              <w:jc w:val="left"/>
              <w:rPr>
                <w:bCs/>
                <w:kern w:val="24"/>
                <w:szCs w:val="21"/>
              </w:rPr>
            </w:pPr>
            <w:r>
              <w:rPr>
                <w:bCs/>
                <w:kern w:val="24"/>
                <w:szCs w:val="21"/>
              </w:rPr>
              <w:t>企业实际：按国家要求，组织开展节能评估与能源审计，从构节能、管理节能、技术节能三个方面挖掘节能潜力，实施节能改造项目完成率大于</w:t>
            </w:r>
            <w:r>
              <w:rPr>
                <w:bCs/>
                <w:kern w:val="24"/>
                <w:szCs w:val="21"/>
              </w:rPr>
              <w:t>70%</w:t>
            </w:r>
            <w:r>
              <w:rPr>
                <w:bCs/>
                <w:kern w:val="24"/>
                <w:szCs w:val="21"/>
              </w:rPr>
              <w:t>，年度节能任务达到国家要求。</w:t>
            </w:r>
          </w:p>
          <w:p w:rsidR="00C72DBD" w:rsidRDefault="00FC0A09">
            <w:pPr>
              <w:snapToGrid w:val="0"/>
              <w:jc w:val="left"/>
              <w:rPr>
                <w:bCs/>
                <w:kern w:val="24"/>
                <w:szCs w:val="21"/>
              </w:rPr>
            </w:pPr>
            <w:r>
              <w:rPr>
                <w:bCs/>
                <w:kern w:val="24"/>
                <w:szCs w:val="21"/>
              </w:rPr>
              <w:t>评价指标：</w:t>
            </w:r>
            <w:r>
              <w:rPr>
                <w:bCs/>
                <w:kern w:val="24"/>
                <w:szCs w:val="21"/>
              </w:rPr>
              <w:t xml:space="preserve">Ⅱ </w:t>
            </w:r>
            <w:r>
              <w:rPr>
                <w:bCs/>
                <w:kern w:val="24"/>
                <w:szCs w:val="21"/>
              </w:rPr>
              <w:t>级基准值</w:t>
            </w:r>
          </w:p>
        </w:tc>
      </w:tr>
    </w:tbl>
    <w:p w:rsidR="00C72DBD" w:rsidRDefault="00FC0A09">
      <w:pPr>
        <w:jc w:val="center"/>
        <w:rPr>
          <w:rFonts w:ascii="宋体" w:cs="仿宋_GB2312"/>
          <w:bCs/>
          <w:sz w:val="30"/>
          <w:szCs w:val="30"/>
        </w:rPr>
      </w:pPr>
      <w:r>
        <w:rPr>
          <w:rFonts w:ascii="宋体" w:cs="仿宋_GB2312"/>
          <w:bCs/>
          <w:sz w:val="28"/>
          <w:szCs w:val="28"/>
        </w:rPr>
        <w:br w:type="page"/>
      </w:r>
      <w:r>
        <w:rPr>
          <w:rFonts w:ascii="宋体" w:hAnsi="宋体" w:cs="仿宋_GB2312"/>
          <w:bCs/>
          <w:sz w:val="30"/>
          <w:szCs w:val="30"/>
        </w:rPr>
        <w:t>2</w:t>
      </w:r>
      <w:r>
        <w:rPr>
          <w:rFonts w:ascii="宋体" w:cs="仿宋_GB2312"/>
          <w:bCs/>
          <w:sz w:val="30"/>
          <w:szCs w:val="30"/>
        </w:rPr>
        <w:t>.</w:t>
      </w:r>
      <w:r>
        <w:rPr>
          <w:rFonts w:ascii="宋体" w:hAnsi="宋体" w:cs="仿宋_GB2312" w:hint="eastAsia"/>
          <w:bCs/>
          <w:sz w:val="30"/>
          <w:szCs w:val="30"/>
        </w:rPr>
        <w:t>企业主要污染物排放量、许可量和环境保护税情况</w:t>
      </w:r>
    </w:p>
    <w:tbl>
      <w:tblPr>
        <w:tblW w:w="8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7"/>
        <w:gridCol w:w="1475"/>
        <w:gridCol w:w="1948"/>
        <w:gridCol w:w="1894"/>
        <w:gridCol w:w="1440"/>
        <w:gridCol w:w="1440"/>
      </w:tblGrid>
      <w:tr w:rsidR="00C72DBD">
        <w:trPr>
          <w:trHeight w:val="851"/>
          <w:jc w:val="center"/>
        </w:trPr>
        <w:tc>
          <w:tcPr>
            <w:tcW w:w="2202" w:type="dxa"/>
            <w:gridSpan w:val="2"/>
            <w:vAlign w:val="center"/>
          </w:tcPr>
          <w:p w:rsidR="00C72DBD" w:rsidRDefault="00FC0A09">
            <w:pPr>
              <w:adjustRightInd w:val="0"/>
              <w:snapToGrid w:val="0"/>
              <w:jc w:val="center"/>
              <w:rPr>
                <w:bCs/>
                <w:sz w:val="24"/>
              </w:rPr>
            </w:pPr>
            <w:r>
              <w:rPr>
                <w:bCs/>
                <w:sz w:val="24"/>
              </w:rPr>
              <w:t>污染物名称</w:t>
            </w:r>
          </w:p>
        </w:tc>
        <w:tc>
          <w:tcPr>
            <w:tcW w:w="1948" w:type="dxa"/>
            <w:vAlign w:val="center"/>
          </w:tcPr>
          <w:p w:rsidR="00C72DBD" w:rsidRDefault="00FC0A09">
            <w:pPr>
              <w:adjustRightInd w:val="0"/>
              <w:snapToGrid w:val="0"/>
              <w:jc w:val="center"/>
              <w:rPr>
                <w:bCs/>
                <w:sz w:val="24"/>
              </w:rPr>
            </w:pPr>
            <w:r>
              <w:rPr>
                <w:bCs/>
                <w:sz w:val="24"/>
              </w:rPr>
              <w:t>实际排放量</w:t>
            </w:r>
          </w:p>
          <w:p w:rsidR="00C72DBD" w:rsidRDefault="00FC0A09">
            <w:pPr>
              <w:adjustRightInd w:val="0"/>
              <w:snapToGrid w:val="0"/>
              <w:jc w:val="center"/>
              <w:rPr>
                <w:bCs/>
                <w:sz w:val="24"/>
              </w:rPr>
            </w:pPr>
            <w:r>
              <w:rPr>
                <w:bCs/>
                <w:sz w:val="24"/>
              </w:rPr>
              <w:t>(</w:t>
            </w:r>
            <w:r>
              <w:rPr>
                <w:bCs/>
                <w:sz w:val="24"/>
              </w:rPr>
              <w:t>吨</w:t>
            </w:r>
            <w:r>
              <w:rPr>
                <w:bCs/>
                <w:sz w:val="24"/>
              </w:rPr>
              <w:t>/</w:t>
            </w:r>
            <w:r>
              <w:rPr>
                <w:bCs/>
                <w:sz w:val="24"/>
              </w:rPr>
              <w:t>年</w:t>
            </w:r>
            <w:r>
              <w:rPr>
                <w:bCs/>
                <w:sz w:val="24"/>
              </w:rPr>
              <w:t>)</w:t>
            </w:r>
          </w:p>
        </w:tc>
        <w:tc>
          <w:tcPr>
            <w:tcW w:w="1894" w:type="dxa"/>
            <w:vAlign w:val="center"/>
          </w:tcPr>
          <w:p w:rsidR="00C72DBD" w:rsidRDefault="00FC0A09">
            <w:pPr>
              <w:adjustRightInd w:val="0"/>
              <w:snapToGrid w:val="0"/>
              <w:jc w:val="center"/>
              <w:rPr>
                <w:bCs/>
                <w:sz w:val="24"/>
              </w:rPr>
            </w:pPr>
            <w:r>
              <w:rPr>
                <w:bCs/>
                <w:sz w:val="24"/>
              </w:rPr>
              <w:t>排污许可量</w:t>
            </w:r>
          </w:p>
          <w:p w:rsidR="00C72DBD" w:rsidRDefault="00FC0A09">
            <w:pPr>
              <w:adjustRightInd w:val="0"/>
              <w:snapToGrid w:val="0"/>
              <w:jc w:val="center"/>
              <w:rPr>
                <w:bCs/>
                <w:sz w:val="24"/>
              </w:rPr>
            </w:pPr>
            <w:r>
              <w:rPr>
                <w:bCs/>
                <w:sz w:val="24"/>
              </w:rPr>
              <w:t>(</w:t>
            </w:r>
            <w:r>
              <w:rPr>
                <w:bCs/>
                <w:sz w:val="24"/>
              </w:rPr>
              <w:t>吨</w:t>
            </w:r>
            <w:r>
              <w:rPr>
                <w:bCs/>
                <w:sz w:val="24"/>
              </w:rPr>
              <w:t>/</w:t>
            </w:r>
            <w:r>
              <w:rPr>
                <w:bCs/>
                <w:sz w:val="24"/>
              </w:rPr>
              <w:t>年</w:t>
            </w:r>
            <w:r>
              <w:rPr>
                <w:bCs/>
                <w:sz w:val="24"/>
              </w:rPr>
              <w:t>)</w:t>
            </w:r>
          </w:p>
        </w:tc>
        <w:tc>
          <w:tcPr>
            <w:tcW w:w="1440" w:type="dxa"/>
            <w:vAlign w:val="center"/>
          </w:tcPr>
          <w:p w:rsidR="00C72DBD" w:rsidRDefault="00FC0A09">
            <w:pPr>
              <w:adjustRightInd w:val="0"/>
              <w:snapToGrid w:val="0"/>
              <w:jc w:val="center"/>
              <w:rPr>
                <w:bCs/>
                <w:sz w:val="24"/>
              </w:rPr>
            </w:pPr>
            <w:r>
              <w:rPr>
                <w:bCs/>
                <w:sz w:val="24"/>
              </w:rPr>
              <w:t>环境税缴纳</w:t>
            </w:r>
          </w:p>
          <w:p w:rsidR="00C72DBD" w:rsidRDefault="00FC0A09">
            <w:pPr>
              <w:adjustRightInd w:val="0"/>
              <w:snapToGrid w:val="0"/>
              <w:jc w:val="center"/>
              <w:rPr>
                <w:bCs/>
                <w:sz w:val="24"/>
              </w:rPr>
            </w:pPr>
            <w:r>
              <w:rPr>
                <w:bCs/>
                <w:sz w:val="24"/>
              </w:rPr>
              <w:t>(</w:t>
            </w:r>
            <w:r>
              <w:rPr>
                <w:bCs/>
                <w:sz w:val="24"/>
              </w:rPr>
              <w:t>万元</w:t>
            </w:r>
            <w:r>
              <w:rPr>
                <w:bCs/>
                <w:sz w:val="24"/>
              </w:rPr>
              <w:t>/</w:t>
            </w:r>
            <w:r>
              <w:rPr>
                <w:bCs/>
                <w:sz w:val="24"/>
              </w:rPr>
              <w:t>年</w:t>
            </w:r>
            <w:r>
              <w:rPr>
                <w:bCs/>
                <w:sz w:val="24"/>
              </w:rPr>
              <w:t>)</w:t>
            </w:r>
          </w:p>
        </w:tc>
        <w:tc>
          <w:tcPr>
            <w:tcW w:w="1440" w:type="dxa"/>
            <w:vAlign w:val="center"/>
          </w:tcPr>
          <w:p w:rsidR="00C72DBD" w:rsidRDefault="00FC0A09">
            <w:pPr>
              <w:adjustRightInd w:val="0"/>
              <w:snapToGrid w:val="0"/>
              <w:jc w:val="center"/>
              <w:rPr>
                <w:bCs/>
                <w:sz w:val="24"/>
              </w:rPr>
            </w:pPr>
            <w:r>
              <w:rPr>
                <w:bCs/>
                <w:sz w:val="24"/>
              </w:rPr>
              <w:t>备</w:t>
            </w:r>
            <w:r>
              <w:rPr>
                <w:bCs/>
                <w:sz w:val="24"/>
              </w:rPr>
              <w:t xml:space="preserve"> </w:t>
            </w:r>
            <w:r>
              <w:rPr>
                <w:bCs/>
                <w:sz w:val="24"/>
              </w:rPr>
              <w:t>注</w:t>
            </w:r>
          </w:p>
        </w:tc>
      </w:tr>
      <w:tr w:rsidR="00C72DBD">
        <w:trPr>
          <w:trHeight w:val="454"/>
          <w:jc w:val="center"/>
        </w:trPr>
        <w:tc>
          <w:tcPr>
            <w:tcW w:w="727" w:type="dxa"/>
            <w:vMerge w:val="restart"/>
            <w:vAlign w:val="center"/>
          </w:tcPr>
          <w:p w:rsidR="00C72DBD" w:rsidRDefault="00FC0A09">
            <w:pPr>
              <w:jc w:val="center"/>
              <w:rPr>
                <w:bCs/>
                <w:sz w:val="24"/>
              </w:rPr>
            </w:pPr>
            <w:r>
              <w:rPr>
                <w:bCs/>
                <w:sz w:val="24"/>
              </w:rPr>
              <w:t>废气污染物</w:t>
            </w:r>
          </w:p>
        </w:tc>
        <w:tc>
          <w:tcPr>
            <w:tcW w:w="1475" w:type="dxa"/>
            <w:vMerge w:val="restart"/>
            <w:vAlign w:val="center"/>
          </w:tcPr>
          <w:p w:rsidR="00C72DBD" w:rsidRDefault="00FC0A09">
            <w:pPr>
              <w:jc w:val="center"/>
              <w:rPr>
                <w:bCs/>
                <w:sz w:val="24"/>
              </w:rPr>
            </w:pPr>
            <w:r>
              <w:rPr>
                <w:bCs/>
                <w:sz w:val="24"/>
              </w:rPr>
              <w:t>二氧化硫</w:t>
            </w:r>
          </w:p>
        </w:tc>
        <w:tc>
          <w:tcPr>
            <w:tcW w:w="1948" w:type="dxa"/>
            <w:vAlign w:val="center"/>
          </w:tcPr>
          <w:p w:rsidR="00C72DBD" w:rsidRDefault="00FC0A09">
            <w:pPr>
              <w:rPr>
                <w:bCs/>
                <w:sz w:val="24"/>
              </w:rPr>
            </w:pPr>
            <w:r>
              <w:rPr>
                <w:bCs/>
                <w:sz w:val="24"/>
              </w:rPr>
              <w:t>烧结：</w:t>
            </w:r>
            <w:r>
              <w:rPr>
                <w:bCs/>
                <w:sz w:val="24"/>
              </w:rPr>
              <w:t>51.83</w:t>
            </w:r>
          </w:p>
        </w:tc>
        <w:tc>
          <w:tcPr>
            <w:tcW w:w="1894" w:type="dxa"/>
            <w:vMerge w:val="restart"/>
            <w:vAlign w:val="center"/>
          </w:tcPr>
          <w:p w:rsidR="00C72DBD" w:rsidRDefault="00FC0A09">
            <w:pPr>
              <w:jc w:val="center"/>
              <w:rPr>
                <w:bCs/>
                <w:sz w:val="24"/>
              </w:rPr>
            </w:pPr>
            <w:r>
              <w:rPr>
                <w:rFonts w:hint="eastAsia"/>
                <w:bCs/>
                <w:sz w:val="24"/>
              </w:rPr>
              <w:t>1412.42</w:t>
            </w:r>
          </w:p>
        </w:tc>
        <w:tc>
          <w:tcPr>
            <w:tcW w:w="1440" w:type="dxa"/>
            <w:vAlign w:val="center"/>
          </w:tcPr>
          <w:p w:rsidR="00C72DBD" w:rsidRDefault="00FC0A09">
            <w:pPr>
              <w:widowControl/>
              <w:jc w:val="center"/>
              <w:textAlignment w:val="center"/>
              <w:rPr>
                <w:bCs/>
                <w:sz w:val="24"/>
              </w:rPr>
            </w:pPr>
            <w:r>
              <w:rPr>
                <w:color w:val="000000"/>
                <w:kern w:val="0"/>
                <w:sz w:val="24"/>
                <w:lang w:bidi="ar"/>
              </w:rPr>
              <w:t xml:space="preserve">26.19 </w:t>
            </w:r>
          </w:p>
        </w:tc>
        <w:tc>
          <w:tcPr>
            <w:tcW w:w="1440" w:type="dxa"/>
            <w:vAlign w:val="center"/>
          </w:tcPr>
          <w:p w:rsidR="00C72DBD" w:rsidRDefault="00C72DBD">
            <w:pPr>
              <w:rPr>
                <w:bCs/>
                <w:sz w:val="24"/>
              </w:rPr>
            </w:pPr>
          </w:p>
        </w:tc>
      </w:tr>
      <w:tr w:rsidR="00C72DBD">
        <w:trPr>
          <w:trHeight w:val="90"/>
          <w:jc w:val="center"/>
        </w:trPr>
        <w:tc>
          <w:tcPr>
            <w:tcW w:w="727" w:type="dxa"/>
            <w:vMerge/>
          </w:tcPr>
          <w:p w:rsidR="00C72DBD" w:rsidRDefault="00C72DBD">
            <w:pPr>
              <w:jc w:val="center"/>
              <w:rPr>
                <w:bCs/>
                <w:sz w:val="24"/>
              </w:rPr>
            </w:pPr>
          </w:p>
        </w:tc>
        <w:tc>
          <w:tcPr>
            <w:tcW w:w="1475" w:type="dxa"/>
            <w:vMerge/>
            <w:vAlign w:val="center"/>
          </w:tcPr>
          <w:p w:rsidR="00C72DBD" w:rsidRDefault="00C72DBD">
            <w:pPr>
              <w:jc w:val="center"/>
              <w:rPr>
                <w:bCs/>
                <w:sz w:val="24"/>
              </w:rPr>
            </w:pPr>
          </w:p>
        </w:tc>
        <w:tc>
          <w:tcPr>
            <w:tcW w:w="1948" w:type="dxa"/>
            <w:vAlign w:val="center"/>
          </w:tcPr>
          <w:p w:rsidR="00C72DBD" w:rsidRDefault="00FC0A09">
            <w:pPr>
              <w:rPr>
                <w:bCs/>
                <w:sz w:val="24"/>
              </w:rPr>
            </w:pPr>
            <w:r>
              <w:rPr>
                <w:bCs/>
                <w:sz w:val="24"/>
              </w:rPr>
              <w:t>球团：</w:t>
            </w:r>
            <w:r>
              <w:rPr>
                <w:rFonts w:hint="eastAsia"/>
                <w:bCs/>
                <w:sz w:val="24"/>
              </w:rPr>
              <w:t>46.75</w:t>
            </w:r>
          </w:p>
        </w:tc>
        <w:tc>
          <w:tcPr>
            <w:tcW w:w="1894" w:type="dxa"/>
            <w:vMerge/>
            <w:vAlign w:val="center"/>
          </w:tcPr>
          <w:p w:rsidR="00C72DBD" w:rsidRDefault="00C72DBD">
            <w:pPr>
              <w:rPr>
                <w:bCs/>
                <w:sz w:val="24"/>
              </w:rPr>
            </w:pPr>
          </w:p>
        </w:tc>
        <w:tc>
          <w:tcPr>
            <w:tcW w:w="1440" w:type="dxa"/>
            <w:vAlign w:val="center"/>
          </w:tcPr>
          <w:p w:rsidR="00C72DBD" w:rsidRDefault="00FC0A09">
            <w:pPr>
              <w:widowControl/>
              <w:jc w:val="center"/>
              <w:textAlignment w:val="center"/>
              <w:rPr>
                <w:bCs/>
                <w:sz w:val="24"/>
              </w:rPr>
            </w:pPr>
            <w:r>
              <w:rPr>
                <w:color w:val="000000"/>
                <w:kern w:val="0"/>
                <w:sz w:val="24"/>
                <w:lang w:bidi="ar"/>
              </w:rPr>
              <w:t xml:space="preserve">23.62 </w:t>
            </w:r>
          </w:p>
        </w:tc>
        <w:tc>
          <w:tcPr>
            <w:tcW w:w="1440" w:type="dxa"/>
            <w:vAlign w:val="center"/>
          </w:tcPr>
          <w:p w:rsidR="00C72DBD" w:rsidRDefault="00C72DBD">
            <w:pPr>
              <w:rPr>
                <w:bCs/>
                <w:sz w:val="24"/>
              </w:rPr>
            </w:pPr>
          </w:p>
        </w:tc>
      </w:tr>
      <w:tr w:rsidR="00C72DBD">
        <w:trPr>
          <w:trHeight w:val="454"/>
          <w:jc w:val="center"/>
        </w:trPr>
        <w:tc>
          <w:tcPr>
            <w:tcW w:w="727" w:type="dxa"/>
            <w:vMerge/>
          </w:tcPr>
          <w:p w:rsidR="00C72DBD" w:rsidRDefault="00C72DBD">
            <w:pPr>
              <w:jc w:val="center"/>
              <w:rPr>
                <w:bCs/>
                <w:sz w:val="24"/>
              </w:rPr>
            </w:pPr>
          </w:p>
        </w:tc>
        <w:tc>
          <w:tcPr>
            <w:tcW w:w="1475" w:type="dxa"/>
            <w:vMerge/>
            <w:vAlign w:val="center"/>
          </w:tcPr>
          <w:p w:rsidR="00C72DBD" w:rsidRDefault="00C72DBD">
            <w:pPr>
              <w:jc w:val="center"/>
              <w:rPr>
                <w:bCs/>
                <w:sz w:val="24"/>
              </w:rPr>
            </w:pPr>
          </w:p>
        </w:tc>
        <w:tc>
          <w:tcPr>
            <w:tcW w:w="1948" w:type="dxa"/>
            <w:vAlign w:val="center"/>
          </w:tcPr>
          <w:p w:rsidR="00C72DBD" w:rsidRDefault="00FC0A09">
            <w:pPr>
              <w:rPr>
                <w:bCs/>
                <w:sz w:val="24"/>
              </w:rPr>
            </w:pPr>
            <w:r>
              <w:rPr>
                <w:bCs/>
                <w:sz w:val="24"/>
              </w:rPr>
              <w:t>炼铁：</w:t>
            </w:r>
            <w:r>
              <w:rPr>
                <w:rFonts w:hint="eastAsia"/>
                <w:bCs/>
                <w:sz w:val="24"/>
              </w:rPr>
              <w:t>61.42</w:t>
            </w:r>
          </w:p>
        </w:tc>
        <w:tc>
          <w:tcPr>
            <w:tcW w:w="1894" w:type="dxa"/>
            <w:vMerge/>
            <w:vAlign w:val="center"/>
          </w:tcPr>
          <w:p w:rsidR="00C72DBD" w:rsidRDefault="00C72DBD">
            <w:pPr>
              <w:rPr>
                <w:bCs/>
                <w:sz w:val="24"/>
              </w:rPr>
            </w:pPr>
          </w:p>
        </w:tc>
        <w:tc>
          <w:tcPr>
            <w:tcW w:w="1440" w:type="dxa"/>
            <w:vAlign w:val="center"/>
          </w:tcPr>
          <w:p w:rsidR="00C72DBD" w:rsidRDefault="00FC0A09">
            <w:pPr>
              <w:widowControl/>
              <w:jc w:val="center"/>
              <w:textAlignment w:val="center"/>
              <w:rPr>
                <w:bCs/>
                <w:sz w:val="24"/>
              </w:rPr>
            </w:pPr>
            <w:r>
              <w:rPr>
                <w:color w:val="000000"/>
                <w:kern w:val="0"/>
                <w:sz w:val="24"/>
                <w:lang w:bidi="ar"/>
              </w:rPr>
              <w:t xml:space="preserve">31.03 </w:t>
            </w:r>
          </w:p>
        </w:tc>
        <w:tc>
          <w:tcPr>
            <w:tcW w:w="1440" w:type="dxa"/>
            <w:vAlign w:val="center"/>
          </w:tcPr>
          <w:p w:rsidR="00C72DBD" w:rsidRDefault="00C72DBD">
            <w:pPr>
              <w:rPr>
                <w:bCs/>
                <w:sz w:val="24"/>
              </w:rPr>
            </w:pPr>
          </w:p>
        </w:tc>
      </w:tr>
      <w:tr w:rsidR="00C72DBD">
        <w:trPr>
          <w:trHeight w:val="454"/>
          <w:jc w:val="center"/>
        </w:trPr>
        <w:tc>
          <w:tcPr>
            <w:tcW w:w="727" w:type="dxa"/>
            <w:vMerge/>
          </w:tcPr>
          <w:p w:rsidR="00C72DBD" w:rsidRDefault="00C72DBD">
            <w:pPr>
              <w:jc w:val="center"/>
              <w:rPr>
                <w:bCs/>
                <w:sz w:val="24"/>
              </w:rPr>
            </w:pPr>
          </w:p>
        </w:tc>
        <w:tc>
          <w:tcPr>
            <w:tcW w:w="1475" w:type="dxa"/>
            <w:vMerge/>
            <w:vAlign w:val="center"/>
          </w:tcPr>
          <w:p w:rsidR="00C72DBD" w:rsidRDefault="00C72DBD">
            <w:pPr>
              <w:jc w:val="center"/>
              <w:rPr>
                <w:bCs/>
                <w:sz w:val="24"/>
              </w:rPr>
            </w:pPr>
          </w:p>
        </w:tc>
        <w:tc>
          <w:tcPr>
            <w:tcW w:w="1948" w:type="dxa"/>
            <w:vAlign w:val="center"/>
          </w:tcPr>
          <w:p w:rsidR="00C72DBD" w:rsidRDefault="00FC0A09">
            <w:pPr>
              <w:rPr>
                <w:bCs/>
                <w:sz w:val="24"/>
              </w:rPr>
            </w:pPr>
            <w:r>
              <w:rPr>
                <w:bCs/>
                <w:sz w:val="24"/>
              </w:rPr>
              <w:t>白灰：</w:t>
            </w:r>
            <w:r>
              <w:rPr>
                <w:rFonts w:hint="eastAsia"/>
                <w:bCs/>
                <w:sz w:val="24"/>
              </w:rPr>
              <w:t>9.75</w:t>
            </w:r>
          </w:p>
        </w:tc>
        <w:tc>
          <w:tcPr>
            <w:tcW w:w="1894" w:type="dxa"/>
            <w:vMerge/>
            <w:vAlign w:val="center"/>
          </w:tcPr>
          <w:p w:rsidR="00C72DBD" w:rsidRDefault="00C72DBD">
            <w:pPr>
              <w:rPr>
                <w:bCs/>
                <w:sz w:val="24"/>
              </w:rPr>
            </w:pPr>
          </w:p>
        </w:tc>
        <w:tc>
          <w:tcPr>
            <w:tcW w:w="1440" w:type="dxa"/>
            <w:vAlign w:val="center"/>
          </w:tcPr>
          <w:p w:rsidR="00C72DBD" w:rsidRDefault="00FC0A09">
            <w:pPr>
              <w:widowControl/>
              <w:jc w:val="center"/>
              <w:textAlignment w:val="center"/>
              <w:rPr>
                <w:bCs/>
                <w:sz w:val="24"/>
              </w:rPr>
            </w:pPr>
            <w:r>
              <w:rPr>
                <w:color w:val="000000"/>
                <w:kern w:val="0"/>
                <w:sz w:val="24"/>
                <w:lang w:bidi="ar"/>
              </w:rPr>
              <w:t xml:space="preserve">4.93 </w:t>
            </w:r>
          </w:p>
        </w:tc>
        <w:tc>
          <w:tcPr>
            <w:tcW w:w="1440" w:type="dxa"/>
            <w:vAlign w:val="center"/>
          </w:tcPr>
          <w:p w:rsidR="00C72DBD" w:rsidRDefault="00C72DBD">
            <w:pPr>
              <w:rPr>
                <w:bCs/>
                <w:sz w:val="24"/>
              </w:rPr>
            </w:pPr>
          </w:p>
        </w:tc>
      </w:tr>
      <w:tr w:rsidR="00C72DBD">
        <w:trPr>
          <w:trHeight w:val="454"/>
          <w:jc w:val="center"/>
        </w:trPr>
        <w:tc>
          <w:tcPr>
            <w:tcW w:w="727" w:type="dxa"/>
            <w:vMerge/>
          </w:tcPr>
          <w:p w:rsidR="00C72DBD" w:rsidRDefault="00C72DBD">
            <w:pPr>
              <w:jc w:val="center"/>
              <w:rPr>
                <w:bCs/>
                <w:sz w:val="24"/>
              </w:rPr>
            </w:pPr>
          </w:p>
        </w:tc>
        <w:tc>
          <w:tcPr>
            <w:tcW w:w="1475" w:type="dxa"/>
            <w:vMerge/>
            <w:vAlign w:val="center"/>
          </w:tcPr>
          <w:p w:rsidR="00C72DBD" w:rsidRDefault="00C72DBD">
            <w:pPr>
              <w:jc w:val="center"/>
              <w:rPr>
                <w:bCs/>
                <w:sz w:val="24"/>
              </w:rPr>
            </w:pPr>
          </w:p>
        </w:tc>
        <w:tc>
          <w:tcPr>
            <w:tcW w:w="1948" w:type="dxa"/>
            <w:vAlign w:val="center"/>
          </w:tcPr>
          <w:p w:rsidR="00C72DBD" w:rsidRDefault="00FC0A09">
            <w:pPr>
              <w:rPr>
                <w:bCs/>
                <w:sz w:val="24"/>
              </w:rPr>
            </w:pPr>
            <w:r>
              <w:rPr>
                <w:bCs/>
                <w:sz w:val="24"/>
              </w:rPr>
              <w:t>轧钢：</w:t>
            </w:r>
            <w:r>
              <w:rPr>
                <w:rFonts w:hint="eastAsia"/>
                <w:bCs/>
                <w:sz w:val="24"/>
              </w:rPr>
              <w:t>21.07</w:t>
            </w:r>
          </w:p>
        </w:tc>
        <w:tc>
          <w:tcPr>
            <w:tcW w:w="1894" w:type="dxa"/>
            <w:vMerge/>
            <w:vAlign w:val="center"/>
          </w:tcPr>
          <w:p w:rsidR="00C72DBD" w:rsidRDefault="00C72DBD">
            <w:pPr>
              <w:rPr>
                <w:bCs/>
                <w:sz w:val="24"/>
              </w:rPr>
            </w:pPr>
          </w:p>
        </w:tc>
        <w:tc>
          <w:tcPr>
            <w:tcW w:w="1440" w:type="dxa"/>
            <w:vAlign w:val="center"/>
          </w:tcPr>
          <w:p w:rsidR="00C72DBD" w:rsidRDefault="00FC0A09">
            <w:pPr>
              <w:widowControl/>
              <w:jc w:val="center"/>
              <w:textAlignment w:val="center"/>
              <w:rPr>
                <w:bCs/>
                <w:sz w:val="24"/>
              </w:rPr>
            </w:pPr>
            <w:r>
              <w:rPr>
                <w:color w:val="000000"/>
                <w:kern w:val="0"/>
                <w:sz w:val="24"/>
                <w:lang w:bidi="ar"/>
              </w:rPr>
              <w:t xml:space="preserve">10.65 </w:t>
            </w:r>
          </w:p>
        </w:tc>
        <w:tc>
          <w:tcPr>
            <w:tcW w:w="1440" w:type="dxa"/>
            <w:vAlign w:val="center"/>
          </w:tcPr>
          <w:p w:rsidR="00C72DBD" w:rsidRDefault="00C72DBD">
            <w:pPr>
              <w:rPr>
                <w:bCs/>
                <w:sz w:val="24"/>
              </w:rPr>
            </w:pPr>
          </w:p>
        </w:tc>
      </w:tr>
      <w:tr w:rsidR="00C72DBD">
        <w:trPr>
          <w:trHeight w:val="454"/>
          <w:jc w:val="center"/>
        </w:trPr>
        <w:tc>
          <w:tcPr>
            <w:tcW w:w="727" w:type="dxa"/>
            <w:vMerge/>
          </w:tcPr>
          <w:p w:rsidR="00C72DBD" w:rsidRDefault="00C72DBD">
            <w:pPr>
              <w:jc w:val="center"/>
              <w:rPr>
                <w:bCs/>
                <w:sz w:val="24"/>
              </w:rPr>
            </w:pPr>
          </w:p>
        </w:tc>
        <w:tc>
          <w:tcPr>
            <w:tcW w:w="1475" w:type="dxa"/>
            <w:vMerge/>
            <w:vAlign w:val="center"/>
          </w:tcPr>
          <w:p w:rsidR="00C72DBD" w:rsidRDefault="00C72DBD">
            <w:pPr>
              <w:jc w:val="center"/>
              <w:rPr>
                <w:bCs/>
                <w:sz w:val="24"/>
              </w:rPr>
            </w:pPr>
          </w:p>
        </w:tc>
        <w:tc>
          <w:tcPr>
            <w:tcW w:w="1948" w:type="dxa"/>
            <w:vAlign w:val="center"/>
          </w:tcPr>
          <w:p w:rsidR="00C72DBD" w:rsidRDefault="00FC0A09">
            <w:pPr>
              <w:rPr>
                <w:bCs/>
                <w:sz w:val="24"/>
              </w:rPr>
            </w:pPr>
            <w:r>
              <w:rPr>
                <w:bCs/>
                <w:sz w:val="24"/>
              </w:rPr>
              <w:t>发电：</w:t>
            </w:r>
            <w:r>
              <w:rPr>
                <w:rFonts w:hint="eastAsia"/>
                <w:bCs/>
                <w:sz w:val="24"/>
              </w:rPr>
              <w:t>19.66</w:t>
            </w:r>
          </w:p>
        </w:tc>
        <w:tc>
          <w:tcPr>
            <w:tcW w:w="1894" w:type="dxa"/>
            <w:vMerge/>
            <w:vAlign w:val="center"/>
          </w:tcPr>
          <w:p w:rsidR="00C72DBD" w:rsidRDefault="00C72DBD">
            <w:pPr>
              <w:rPr>
                <w:bCs/>
                <w:sz w:val="24"/>
              </w:rPr>
            </w:pPr>
          </w:p>
        </w:tc>
        <w:tc>
          <w:tcPr>
            <w:tcW w:w="1440" w:type="dxa"/>
            <w:vAlign w:val="center"/>
          </w:tcPr>
          <w:p w:rsidR="00C72DBD" w:rsidRDefault="00FC0A09">
            <w:pPr>
              <w:widowControl/>
              <w:jc w:val="center"/>
              <w:textAlignment w:val="center"/>
              <w:rPr>
                <w:bCs/>
                <w:sz w:val="24"/>
              </w:rPr>
            </w:pPr>
            <w:r>
              <w:rPr>
                <w:color w:val="000000"/>
                <w:kern w:val="0"/>
                <w:sz w:val="24"/>
                <w:lang w:bidi="ar"/>
              </w:rPr>
              <w:t xml:space="preserve">9.93 </w:t>
            </w:r>
          </w:p>
        </w:tc>
        <w:tc>
          <w:tcPr>
            <w:tcW w:w="1440" w:type="dxa"/>
            <w:vAlign w:val="center"/>
          </w:tcPr>
          <w:p w:rsidR="00C72DBD" w:rsidRDefault="00C72DBD">
            <w:pPr>
              <w:rPr>
                <w:bCs/>
                <w:sz w:val="24"/>
              </w:rPr>
            </w:pPr>
          </w:p>
        </w:tc>
      </w:tr>
      <w:tr w:rsidR="00C72DBD">
        <w:trPr>
          <w:trHeight w:val="454"/>
          <w:jc w:val="center"/>
        </w:trPr>
        <w:tc>
          <w:tcPr>
            <w:tcW w:w="727" w:type="dxa"/>
            <w:vMerge/>
          </w:tcPr>
          <w:p w:rsidR="00C72DBD" w:rsidRDefault="00C72DBD">
            <w:pPr>
              <w:jc w:val="center"/>
              <w:rPr>
                <w:bCs/>
                <w:sz w:val="24"/>
              </w:rPr>
            </w:pPr>
          </w:p>
        </w:tc>
        <w:tc>
          <w:tcPr>
            <w:tcW w:w="1475" w:type="dxa"/>
            <w:vMerge/>
            <w:vAlign w:val="center"/>
          </w:tcPr>
          <w:p w:rsidR="00C72DBD" w:rsidRDefault="00C72DBD">
            <w:pPr>
              <w:jc w:val="center"/>
              <w:rPr>
                <w:bCs/>
                <w:sz w:val="24"/>
              </w:rPr>
            </w:pPr>
          </w:p>
        </w:tc>
        <w:tc>
          <w:tcPr>
            <w:tcW w:w="1948" w:type="dxa"/>
            <w:vAlign w:val="center"/>
          </w:tcPr>
          <w:p w:rsidR="00C72DBD" w:rsidRDefault="00FC0A09">
            <w:pPr>
              <w:rPr>
                <w:bCs/>
                <w:sz w:val="24"/>
              </w:rPr>
            </w:pPr>
            <w:r>
              <w:rPr>
                <w:bCs/>
                <w:sz w:val="24"/>
              </w:rPr>
              <w:t>焦化：</w:t>
            </w:r>
            <w:r>
              <w:rPr>
                <w:rFonts w:hint="eastAsia"/>
                <w:bCs/>
                <w:sz w:val="24"/>
              </w:rPr>
              <w:t>163.38</w:t>
            </w:r>
          </w:p>
        </w:tc>
        <w:tc>
          <w:tcPr>
            <w:tcW w:w="1894" w:type="dxa"/>
            <w:vMerge/>
            <w:vAlign w:val="center"/>
          </w:tcPr>
          <w:p w:rsidR="00C72DBD" w:rsidRDefault="00C72DBD">
            <w:pPr>
              <w:rPr>
                <w:bCs/>
                <w:sz w:val="24"/>
              </w:rPr>
            </w:pPr>
          </w:p>
        </w:tc>
        <w:tc>
          <w:tcPr>
            <w:tcW w:w="1440" w:type="dxa"/>
            <w:vAlign w:val="center"/>
          </w:tcPr>
          <w:p w:rsidR="00C72DBD" w:rsidRDefault="00FC0A09">
            <w:pPr>
              <w:widowControl/>
              <w:jc w:val="center"/>
              <w:textAlignment w:val="center"/>
              <w:rPr>
                <w:bCs/>
                <w:sz w:val="24"/>
              </w:rPr>
            </w:pPr>
            <w:r>
              <w:rPr>
                <w:color w:val="000000"/>
                <w:kern w:val="0"/>
                <w:sz w:val="24"/>
                <w:lang w:bidi="ar"/>
              </w:rPr>
              <w:t xml:space="preserve">82.55 </w:t>
            </w:r>
          </w:p>
        </w:tc>
        <w:tc>
          <w:tcPr>
            <w:tcW w:w="1440" w:type="dxa"/>
            <w:vAlign w:val="center"/>
          </w:tcPr>
          <w:p w:rsidR="00C72DBD" w:rsidRDefault="00C72DBD">
            <w:pPr>
              <w:rPr>
                <w:bCs/>
                <w:sz w:val="24"/>
              </w:rPr>
            </w:pPr>
          </w:p>
        </w:tc>
      </w:tr>
      <w:tr w:rsidR="00C72DBD">
        <w:trPr>
          <w:trHeight w:val="454"/>
          <w:jc w:val="center"/>
        </w:trPr>
        <w:tc>
          <w:tcPr>
            <w:tcW w:w="727" w:type="dxa"/>
            <w:vMerge/>
          </w:tcPr>
          <w:p w:rsidR="00C72DBD" w:rsidRDefault="00C72DBD">
            <w:pPr>
              <w:jc w:val="center"/>
              <w:rPr>
                <w:bCs/>
                <w:sz w:val="24"/>
              </w:rPr>
            </w:pPr>
          </w:p>
        </w:tc>
        <w:tc>
          <w:tcPr>
            <w:tcW w:w="1475" w:type="dxa"/>
            <w:vMerge/>
            <w:vAlign w:val="center"/>
          </w:tcPr>
          <w:p w:rsidR="00C72DBD" w:rsidRDefault="00C72DBD">
            <w:pPr>
              <w:jc w:val="center"/>
              <w:rPr>
                <w:bCs/>
                <w:sz w:val="24"/>
              </w:rPr>
            </w:pPr>
          </w:p>
        </w:tc>
        <w:tc>
          <w:tcPr>
            <w:tcW w:w="1948" w:type="dxa"/>
            <w:vAlign w:val="center"/>
          </w:tcPr>
          <w:p w:rsidR="00C72DBD" w:rsidRDefault="00FC0A09">
            <w:pPr>
              <w:rPr>
                <w:bCs/>
                <w:sz w:val="24"/>
              </w:rPr>
            </w:pPr>
            <w:r>
              <w:rPr>
                <w:bCs/>
                <w:sz w:val="24"/>
              </w:rPr>
              <w:t>铸管：</w:t>
            </w:r>
            <w:r>
              <w:rPr>
                <w:rFonts w:hint="eastAsia"/>
                <w:bCs/>
                <w:sz w:val="24"/>
              </w:rPr>
              <w:t>16.74</w:t>
            </w:r>
          </w:p>
        </w:tc>
        <w:tc>
          <w:tcPr>
            <w:tcW w:w="1894" w:type="dxa"/>
            <w:vMerge/>
            <w:vAlign w:val="center"/>
          </w:tcPr>
          <w:p w:rsidR="00C72DBD" w:rsidRDefault="00C72DBD">
            <w:pPr>
              <w:rPr>
                <w:bCs/>
                <w:sz w:val="24"/>
              </w:rPr>
            </w:pPr>
          </w:p>
        </w:tc>
        <w:tc>
          <w:tcPr>
            <w:tcW w:w="1440" w:type="dxa"/>
            <w:vAlign w:val="center"/>
          </w:tcPr>
          <w:p w:rsidR="00C72DBD" w:rsidRDefault="00FC0A09">
            <w:pPr>
              <w:widowControl/>
              <w:jc w:val="center"/>
              <w:textAlignment w:val="center"/>
              <w:rPr>
                <w:bCs/>
                <w:sz w:val="24"/>
              </w:rPr>
            </w:pPr>
            <w:r>
              <w:rPr>
                <w:color w:val="000000"/>
                <w:kern w:val="0"/>
                <w:sz w:val="24"/>
                <w:lang w:bidi="ar"/>
              </w:rPr>
              <w:t xml:space="preserve">8.46 </w:t>
            </w:r>
          </w:p>
        </w:tc>
        <w:tc>
          <w:tcPr>
            <w:tcW w:w="1440" w:type="dxa"/>
            <w:vAlign w:val="center"/>
          </w:tcPr>
          <w:p w:rsidR="00C72DBD" w:rsidRDefault="00C72DBD">
            <w:pPr>
              <w:rPr>
                <w:bCs/>
                <w:sz w:val="24"/>
              </w:rPr>
            </w:pPr>
          </w:p>
        </w:tc>
      </w:tr>
      <w:tr w:rsidR="00C72DBD">
        <w:trPr>
          <w:trHeight w:val="454"/>
          <w:jc w:val="center"/>
        </w:trPr>
        <w:tc>
          <w:tcPr>
            <w:tcW w:w="727" w:type="dxa"/>
            <w:vMerge/>
          </w:tcPr>
          <w:p w:rsidR="00C72DBD" w:rsidRDefault="00C72DBD">
            <w:pPr>
              <w:jc w:val="center"/>
              <w:rPr>
                <w:bCs/>
                <w:sz w:val="24"/>
              </w:rPr>
            </w:pPr>
          </w:p>
        </w:tc>
        <w:tc>
          <w:tcPr>
            <w:tcW w:w="1475" w:type="dxa"/>
            <w:vMerge w:val="restart"/>
            <w:vAlign w:val="center"/>
          </w:tcPr>
          <w:p w:rsidR="00C72DBD" w:rsidRDefault="00FC0A09">
            <w:pPr>
              <w:jc w:val="center"/>
              <w:rPr>
                <w:bCs/>
                <w:sz w:val="24"/>
              </w:rPr>
            </w:pPr>
            <w:r>
              <w:rPr>
                <w:bCs/>
                <w:sz w:val="24"/>
              </w:rPr>
              <w:t>颗粒物</w:t>
            </w:r>
          </w:p>
        </w:tc>
        <w:tc>
          <w:tcPr>
            <w:tcW w:w="1948" w:type="dxa"/>
            <w:vAlign w:val="center"/>
          </w:tcPr>
          <w:p w:rsidR="00C72DBD" w:rsidRDefault="00FC0A09">
            <w:pPr>
              <w:rPr>
                <w:bCs/>
                <w:sz w:val="24"/>
              </w:rPr>
            </w:pPr>
            <w:r>
              <w:rPr>
                <w:bCs/>
                <w:sz w:val="24"/>
              </w:rPr>
              <w:t>烧结：</w:t>
            </w:r>
            <w:r>
              <w:rPr>
                <w:rFonts w:hint="eastAsia"/>
                <w:bCs/>
                <w:sz w:val="24"/>
              </w:rPr>
              <w:t>355.90</w:t>
            </w:r>
          </w:p>
        </w:tc>
        <w:tc>
          <w:tcPr>
            <w:tcW w:w="1894" w:type="dxa"/>
            <w:vMerge w:val="restart"/>
            <w:vAlign w:val="center"/>
          </w:tcPr>
          <w:p w:rsidR="00C72DBD" w:rsidRDefault="00FC0A09">
            <w:pPr>
              <w:jc w:val="center"/>
              <w:rPr>
                <w:bCs/>
                <w:sz w:val="24"/>
              </w:rPr>
            </w:pPr>
            <w:r>
              <w:rPr>
                <w:rFonts w:hint="eastAsia"/>
                <w:bCs/>
                <w:sz w:val="24"/>
              </w:rPr>
              <w:t>1466.32</w:t>
            </w:r>
          </w:p>
        </w:tc>
        <w:tc>
          <w:tcPr>
            <w:tcW w:w="1440" w:type="dxa"/>
            <w:vAlign w:val="center"/>
          </w:tcPr>
          <w:p w:rsidR="00C72DBD" w:rsidRDefault="00FC0A09">
            <w:pPr>
              <w:widowControl/>
              <w:jc w:val="center"/>
              <w:textAlignment w:val="center"/>
              <w:rPr>
                <w:bCs/>
                <w:sz w:val="24"/>
              </w:rPr>
            </w:pPr>
            <w:r>
              <w:rPr>
                <w:color w:val="000000"/>
                <w:kern w:val="0"/>
                <w:sz w:val="24"/>
                <w:lang w:bidi="ar"/>
              </w:rPr>
              <w:t xml:space="preserve">78.36 </w:t>
            </w:r>
          </w:p>
        </w:tc>
        <w:tc>
          <w:tcPr>
            <w:tcW w:w="1440" w:type="dxa"/>
            <w:vAlign w:val="center"/>
          </w:tcPr>
          <w:p w:rsidR="00C72DBD" w:rsidRDefault="00C72DBD">
            <w:pPr>
              <w:rPr>
                <w:bCs/>
                <w:sz w:val="24"/>
              </w:rPr>
            </w:pPr>
          </w:p>
        </w:tc>
      </w:tr>
      <w:tr w:rsidR="00C72DBD">
        <w:trPr>
          <w:trHeight w:val="454"/>
          <w:jc w:val="center"/>
        </w:trPr>
        <w:tc>
          <w:tcPr>
            <w:tcW w:w="727" w:type="dxa"/>
            <w:vMerge/>
          </w:tcPr>
          <w:p w:rsidR="00C72DBD" w:rsidRDefault="00C72DBD">
            <w:pPr>
              <w:jc w:val="center"/>
              <w:rPr>
                <w:bCs/>
                <w:sz w:val="24"/>
              </w:rPr>
            </w:pPr>
          </w:p>
        </w:tc>
        <w:tc>
          <w:tcPr>
            <w:tcW w:w="1475" w:type="dxa"/>
            <w:vMerge/>
            <w:vAlign w:val="center"/>
          </w:tcPr>
          <w:p w:rsidR="00C72DBD" w:rsidRDefault="00C72DBD">
            <w:pPr>
              <w:jc w:val="center"/>
              <w:rPr>
                <w:bCs/>
                <w:sz w:val="24"/>
              </w:rPr>
            </w:pPr>
          </w:p>
        </w:tc>
        <w:tc>
          <w:tcPr>
            <w:tcW w:w="1948" w:type="dxa"/>
            <w:vAlign w:val="center"/>
          </w:tcPr>
          <w:p w:rsidR="00C72DBD" w:rsidRDefault="00FC0A09">
            <w:pPr>
              <w:rPr>
                <w:bCs/>
                <w:sz w:val="24"/>
              </w:rPr>
            </w:pPr>
            <w:r>
              <w:rPr>
                <w:bCs/>
                <w:sz w:val="24"/>
              </w:rPr>
              <w:t>球团：</w:t>
            </w:r>
            <w:r>
              <w:rPr>
                <w:rFonts w:hint="eastAsia"/>
                <w:bCs/>
                <w:sz w:val="24"/>
              </w:rPr>
              <w:t>44.13</w:t>
            </w:r>
          </w:p>
        </w:tc>
        <w:tc>
          <w:tcPr>
            <w:tcW w:w="1894" w:type="dxa"/>
            <w:vMerge/>
            <w:vAlign w:val="center"/>
          </w:tcPr>
          <w:p w:rsidR="00C72DBD" w:rsidRDefault="00C72DBD">
            <w:pPr>
              <w:rPr>
                <w:bCs/>
                <w:sz w:val="24"/>
              </w:rPr>
            </w:pPr>
          </w:p>
        </w:tc>
        <w:tc>
          <w:tcPr>
            <w:tcW w:w="1440" w:type="dxa"/>
            <w:vAlign w:val="center"/>
          </w:tcPr>
          <w:p w:rsidR="00C72DBD" w:rsidRDefault="00FC0A09">
            <w:pPr>
              <w:widowControl/>
              <w:jc w:val="center"/>
              <w:textAlignment w:val="center"/>
              <w:rPr>
                <w:bCs/>
                <w:sz w:val="24"/>
              </w:rPr>
            </w:pPr>
            <w:r>
              <w:rPr>
                <w:color w:val="000000"/>
                <w:kern w:val="0"/>
                <w:sz w:val="24"/>
                <w:lang w:bidi="ar"/>
              </w:rPr>
              <w:t xml:space="preserve">9.72 </w:t>
            </w:r>
          </w:p>
        </w:tc>
        <w:tc>
          <w:tcPr>
            <w:tcW w:w="1440" w:type="dxa"/>
            <w:vAlign w:val="center"/>
          </w:tcPr>
          <w:p w:rsidR="00C72DBD" w:rsidRDefault="00C72DBD">
            <w:pPr>
              <w:rPr>
                <w:bCs/>
                <w:sz w:val="24"/>
              </w:rPr>
            </w:pPr>
          </w:p>
        </w:tc>
      </w:tr>
      <w:tr w:rsidR="00C72DBD">
        <w:trPr>
          <w:trHeight w:val="454"/>
          <w:jc w:val="center"/>
        </w:trPr>
        <w:tc>
          <w:tcPr>
            <w:tcW w:w="727" w:type="dxa"/>
            <w:vMerge/>
          </w:tcPr>
          <w:p w:rsidR="00C72DBD" w:rsidRDefault="00C72DBD">
            <w:pPr>
              <w:jc w:val="center"/>
              <w:rPr>
                <w:bCs/>
                <w:sz w:val="24"/>
              </w:rPr>
            </w:pPr>
          </w:p>
        </w:tc>
        <w:tc>
          <w:tcPr>
            <w:tcW w:w="1475" w:type="dxa"/>
            <w:vMerge/>
            <w:vAlign w:val="center"/>
          </w:tcPr>
          <w:p w:rsidR="00C72DBD" w:rsidRDefault="00C72DBD">
            <w:pPr>
              <w:jc w:val="center"/>
              <w:rPr>
                <w:bCs/>
                <w:sz w:val="24"/>
              </w:rPr>
            </w:pPr>
          </w:p>
        </w:tc>
        <w:tc>
          <w:tcPr>
            <w:tcW w:w="1948" w:type="dxa"/>
            <w:vAlign w:val="center"/>
          </w:tcPr>
          <w:p w:rsidR="00C72DBD" w:rsidRDefault="00FC0A09">
            <w:pPr>
              <w:rPr>
                <w:bCs/>
                <w:sz w:val="24"/>
              </w:rPr>
            </w:pPr>
            <w:r>
              <w:rPr>
                <w:bCs/>
                <w:sz w:val="24"/>
              </w:rPr>
              <w:t>炼铁：</w:t>
            </w:r>
            <w:r>
              <w:rPr>
                <w:rFonts w:hint="eastAsia"/>
                <w:bCs/>
                <w:sz w:val="24"/>
              </w:rPr>
              <w:t>222.56</w:t>
            </w:r>
          </w:p>
        </w:tc>
        <w:tc>
          <w:tcPr>
            <w:tcW w:w="1894" w:type="dxa"/>
            <w:vMerge/>
            <w:vAlign w:val="center"/>
          </w:tcPr>
          <w:p w:rsidR="00C72DBD" w:rsidRDefault="00C72DBD">
            <w:pPr>
              <w:rPr>
                <w:bCs/>
                <w:sz w:val="24"/>
              </w:rPr>
            </w:pPr>
          </w:p>
        </w:tc>
        <w:tc>
          <w:tcPr>
            <w:tcW w:w="1440" w:type="dxa"/>
            <w:vAlign w:val="center"/>
          </w:tcPr>
          <w:p w:rsidR="00C72DBD" w:rsidRDefault="00FC0A09">
            <w:pPr>
              <w:widowControl/>
              <w:jc w:val="center"/>
              <w:textAlignment w:val="center"/>
              <w:rPr>
                <w:bCs/>
                <w:sz w:val="24"/>
              </w:rPr>
            </w:pPr>
            <w:r>
              <w:rPr>
                <w:color w:val="000000"/>
                <w:kern w:val="0"/>
                <w:sz w:val="24"/>
                <w:lang w:bidi="ar"/>
              </w:rPr>
              <w:t xml:space="preserve">49.00 </w:t>
            </w:r>
          </w:p>
        </w:tc>
        <w:tc>
          <w:tcPr>
            <w:tcW w:w="1440" w:type="dxa"/>
            <w:vAlign w:val="center"/>
          </w:tcPr>
          <w:p w:rsidR="00C72DBD" w:rsidRDefault="00C72DBD">
            <w:pPr>
              <w:rPr>
                <w:bCs/>
                <w:sz w:val="24"/>
              </w:rPr>
            </w:pPr>
          </w:p>
        </w:tc>
      </w:tr>
      <w:tr w:rsidR="00C72DBD">
        <w:trPr>
          <w:trHeight w:val="454"/>
          <w:jc w:val="center"/>
        </w:trPr>
        <w:tc>
          <w:tcPr>
            <w:tcW w:w="727" w:type="dxa"/>
            <w:vMerge/>
          </w:tcPr>
          <w:p w:rsidR="00C72DBD" w:rsidRDefault="00C72DBD">
            <w:pPr>
              <w:jc w:val="center"/>
              <w:rPr>
                <w:bCs/>
                <w:sz w:val="24"/>
              </w:rPr>
            </w:pPr>
          </w:p>
        </w:tc>
        <w:tc>
          <w:tcPr>
            <w:tcW w:w="1475" w:type="dxa"/>
            <w:vMerge/>
            <w:vAlign w:val="center"/>
          </w:tcPr>
          <w:p w:rsidR="00C72DBD" w:rsidRDefault="00C72DBD">
            <w:pPr>
              <w:jc w:val="center"/>
              <w:rPr>
                <w:bCs/>
                <w:sz w:val="24"/>
              </w:rPr>
            </w:pPr>
          </w:p>
        </w:tc>
        <w:tc>
          <w:tcPr>
            <w:tcW w:w="1948" w:type="dxa"/>
            <w:vAlign w:val="center"/>
          </w:tcPr>
          <w:p w:rsidR="00C72DBD" w:rsidRDefault="00FC0A09">
            <w:pPr>
              <w:rPr>
                <w:bCs/>
                <w:sz w:val="24"/>
              </w:rPr>
            </w:pPr>
            <w:r>
              <w:rPr>
                <w:bCs/>
                <w:sz w:val="24"/>
              </w:rPr>
              <w:t>炼钢：</w:t>
            </w:r>
            <w:r>
              <w:rPr>
                <w:rFonts w:hint="eastAsia"/>
                <w:bCs/>
                <w:sz w:val="24"/>
              </w:rPr>
              <w:t>195.86</w:t>
            </w:r>
          </w:p>
        </w:tc>
        <w:tc>
          <w:tcPr>
            <w:tcW w:w="1894" w:type="dxa"/>
            <w:vMerge/>
            <w:vAlign w:val="center"/>
          </w:tcPr>
          <w:p w:rsidR="00C72DBD" w:rsidRDefault="00C72DBD">
            <w:pPr>
              <w:rPr>
                <w:bCs/>
                <w:sz w:val="24"/>
              </w:rPr>
            </w:pPr>
          </w:p>
        </w:tc>
        <w:tc>
          <w:tcPr>
            <w:tcW w:w="1440" w:type="dxa"/>
            <w:vAlign w:val="center"/>
          </w:tcPr>
          <w:p w:rsidR="00C72DBD" w:rsidRDefault="00FC0A09">
            <w:pPr>
              <w:widowControl/>
              <w:jc w:val="center"/>
              <w:textAlignment w:val="center"/>
              <w:rPr>
                <w:bCs/>
                <w:sz w:val="24"/>
              </w:rPr>
            </w:pPr>
            <w:r>
              <w:rPr>
                <w:color w:val="000000"/>
                <w:kern w:val="0"/>
                <w:sz w:val="24"/>
                <w:lang w:bidi="ar"/>
              </w:rPr>
              <w:t xml:space="preserve">43.13 </w:t>
            </w:r>
          </w:p>
        </w:tc>
        <w:tc>
          <w:tcPr>
            <w:tcW w:w="1440" w:type="dxa"/>
            <w:vAlign w:val="center"/>
          </w:tcPr>
          <w:p w:rsidR="00C72DBD" w:rsidRDefault="00C72DBD">
            <w:pPr>
              <w:rPr>
                <w:bCs/>
                <w:sz w:val="24"/>
              </w:rPr>
            </w:pPr>
          </w:p>
        </w:tc>
      </w:tr>
      <w:tr w:rsidR="00C72DBD">
        <w:trPr>
          <w:trHeight w:val="454"/>
          <w:jc w:val="center"/>
        </w:trPr>
        <w:tc>
          <w:tcPr>
            <w:tcW w:w="727" w:type="dxa"/>
            <w:vMerge/>
          </w:tcPr>
          <w:p w:rsidR="00C72DBD" w:rsidRDefault="00C72DBD">
            <w:pPr>
              <w:jc w:val="center"/>
              <w:rPr>
                <w:bCs/>
                <w:sz w:val="24"/>
              </w:rPr>
            </w:pPr>
          </w:p>
        </w:tc>
        <w:tc>
          <w:tcPr>
            <w:tcW w:w="1475" w:type="dxa"/>
            <w:vMerge/>
            <w:vAlign w:val="center"/>
          </w:tcPr>
          <w:p w:rsidR="00C72DBD" w:rsidRDefault="00C72DBD">
            <w:pPr>
              <w:jc w:val="center"/>
              <w:rPr>
                <w:bCs/>
                <w:sz w:val="24"/>
              </w:rPr>
            </w:pPr>
          </w:p>
        </w:tc>
        <w:tc>
          <w:tcPr>
            <w:tcW w:w="1948" w:type="dxa"/>
            <w:vAlign w:val="center"/>
          </w:tcPr>
          <w:p w:rsidR="00C72DBD" w:rsidRDefault="00FC0A09">
            <w:pPr>
              <w:rPr>
                <w:bCs/>
                <w:sz w:val="24"/>
              </w:rPr>
            </w:pPr>
            <w:r>
              <w:rPr>
                <w:bCs/>
                <w:sz w:val="24"/>
              </w:rPr>
              <w:t>白灰：</w:t>
            </w:r>
            <w:r>
              <w:rPr>
                <w:rFonts w:hint="eastAsia"/>
                <w:bCs/>
                <w:sz w:val="24"/>
              </w:rPr>
              <w:t>43.53</w:t>
            </w:r>
          </w:p>
        </w:tc>
        <w:tc>
          <w:tcPr>
            <w:tcW w:w="1894" w:type="dxa"/>
            <w:vMerge/>
            <w:vAlign w:val="center"/>
          </w:tcPr>
          <w:p w:rsidR="00C72DBD" w:rsidRDefault="00C72DBD">
            <w:pPr>
              <w:rPr>
                <w:bCs/>
                <w:sz w:val="24"/>
              </w:rPr>
            </w:pPr>
          </w:p>
        </w:tc>
        <w:tc>
          <w:tcPr>
            <w:tcW w:w="1440" w:type="dxa"/>
            <w:vAlign w:val="center"/>
          </w:tcPr>
          <w:p w:rsidR="00C72DBD" w:rsidRDefault="00FC0A09">
            <w:pPr>
              <w:widowControl/>
              <w:jc w:val="center"/>
              <w:textAlignment w:val="center"/>
              <w:rPr>
                <w:bCs/>
                <w:sz w:val="24"/>
              </w:rPr>
            </w:pPr>
            <w:r>
              <w:rPr>
                <w:color w:val="000000"/>
                <w:kern w:val="0"/>
                <w:sz w:val="24"/>
                <w:lang w:bidi="ar"/>
              </w:rPr>
              <w:t xml:space="preserve">9.58 </w:t>
            </w:r>
          </w:p>
        </w:tc>
        <w:tc>
          <w:tcPr>
            <w:tcW w:w="1440" w:type="dxa"/>
            <w:vAlign w:val="center"/>
          </w:tcPr>
          <w:p w:rsidR="00C72DBD" w:rsidRDefault="00C72DBD">
            <w:pPr>
              <w:rPr>
                <w:bCs/>
                <w:sz w:val="24"/>
              </w:rPr>
            </w:pPr>
          </w:p>
        </w:tc>
      </w:tr>
      <w:tr w:rsidR="00C72DBD">
        <w:trPr>
          <w:trHeight w:val="454"/>
          <w:jc w:val="center"/>
        </w:trPr>
        <w:tc>
          <w:tcPr>
            <w:tcW w:w="727" w:type="dxa"/>
            <w:vMerge/>
          </w:tcPr>
          <w:p w:rsidR="00C72DBD" w:rsidRDefault="00C72DBD">
            <w:pPr>
              <w:jc w:val="center"/>
              <w:rPr>
                <w:bCs/>
                <w:sz w:val="24"/>
              </w:rPr>
            </w:pPr>
          </w:p>
        </w:tc>
        <w:tc>
          <w:tcPr>
            <w:tcW w:w="1475" w:type="dxa"/>
            <w:vMerge/>
            <w:vAlign w:val="center"/>
          </w:tcPr>
          <w:p w:rsidR="00C72DBD" w:rsidRDefault="00C72DBD">
            <w:pPr>
              <w:jc w:val="center"/>
              <w:rPr>
                <w:bCs/>
                <w:sz w:val="24"/>
              </w:rPr>
            </w:pPr>
          </w:p>
        </w:tc>
        <w:tc>
          <w:tcPr>
            <w:tcW w:w="1948" w:type="dxa"/>
            <w:vAlign w:val="center"/>
          </w:tcPr>
          <w:p w:rsidR="00C72DBD" w:rsidRDefault="00FC0A09">
            <w:pPr>
              <w:rPr>
                <w:bCs/>
                <w:sz w:val="24"/>
              </w:rPr>
            </w:pPr>
            <w:r>
              <w:rPr>
                <w:bCs/>
                <w:sz w:val="24"/>
              </w:rPr>
              <w:t>轧钢：</w:t>
            </w:r>
            <w:r>
              <w:rPr>
                <w:rFonts w:hint="eastAsia"/>
                <w:bCs/>
                <w:sz w:val="24"/>
              </w:rPr>
              <w:t>31.11</w:t>
            </w:r>
          </w:p>
        </w:tc>
        <w:tc>
          <w:tcPr>
            <w:tcW w:w="1894" w:type="dxa"/>
            <w:vMerge/>
            <w:vAlign w:val="center"/>
          </w:tcPr>
          <w:p w:rsidR="00C72DBD" w:rsidRDefault="00C72DBD">
            <w:pPr>
              <w:rPr>
                <w:bCs/>
                <w:sz w:val="24"/>
              </w:rPr>
            </w:pPr>
          </w:p>
        </w:tc>
        <w:tc>
          <w:tcPr>
            <w:tcW w:w="1440" w:type="dxa"/>
            <w:vAlign w:val="center"/>
          </w:tcPr>
          <w:p w:rsidR="00C72DBD" w:rsidRDefault="00FC0A09">
            <w:pPr>
              <w:widowControl/>
              <w:jc w:val="center"/>
              <w:textAlignment w:val="center"/>
              <w:rPr>
                <w:bCs/>
                <w:sz w:val="24"/>
              </w:rPr>
            </w:pPr>
            <w:r>
              <w:rPr>
                <w:color w:val="000000"/>
                <w:kern w:val="0"/>
                <w:sz w:val="24"/>
                <w:lang w:bidi="ar"/>
              </w:rPr>
              <w:t xml:space="preserve">6.85 </w:t>
            </w:r>
          </w:p>
        </w:tc>
        <w:tc>
          <w:tcPr>
            <w:tcW w:w="1440" w:type="dxa"/>
            <w:vAlign w:val="center"/>
          </w:tcPr>
          <w:p w:rsidR="00C72DBD" w:rsidRDefault="00C72DBD">
            <w:pPr>
              <w:rPr>
                <w:bCs/>
                <w:sz w:val="24"/>
              </w:rPr>
            </w:pPr>
          </w:p>
        </w:tc>
      </w:tr>
      <w:tr w:rsidR="00C72DBD">
        <w:trPr>
          <w:trHeight w:val="454"/>
          <w:jc w:val="center"/>
        </w:trPr>
        <w:tc>
          <w:tcPr>
            <w:tcW w:w="727" w:type="dxa"/>
            <w:vMerge/>
          </w:tcPr>
          <w:p w:rsidR="00C72DBD" w:rsidRDefault="00C72DBD">
            <w:pPr>
              <w:jc w:val="center"/>
              <w:rPr>
                <w:bCs/>
                <w:sz w:val="24"/>
              </w:rPr>
            </w:pPr>
          </w:p>
        </w:tc>
        <w:tc>
          <w:tcPr>
            <w:tcW w:w="1475" w:type="dxa"/>
            <w:vMerge/>
            <w:vAlign w:val="center"/>
          </w:tcPr>
          <w:p w:rsidR="00C72DBD" w:rsidRDefault="00C72DBD">
            <w:pPr>
              <w:jc w:val="center"/>
              <w:rPr>
                <w:bCs/>
                <w:sz w:val="24"/>
              </w:rPr>
            </w:pPr>
          </w:p>
        </w:tc>
        <w:tc>
          <w:tcPr>
            <w:tcW w:w="1948" w:type="dxa"/>
            <w:vAlign w:val="center"/>
          </w:tcPr>
          <w:p w:rsidR="00C72DBD" w:rsidRDefault="00FC0A09">
            <w:pPr>
              <w:rPr>
                <w:bCs/>
                <w:sz w:val="24"/>
              </w:rPr>
            </w:pPr>
            <w:r>
              <w:rPr>
                <w:bCs/>
                <w:sz w:val="24"/>
              </w:rPr>
              <w:t>发电：</w:t>
            </w:r>
            <w:r>
              <w:rPr>
                <w:rFonts w:hint="eastAsia"/>
                <w:bCs/>
                <w:sz w:val="24"/>
              </w:rPr>
              <w:t>8.27</w:t>
            </w:r>
          </w:p>
        </w:tc>
        <w:tc>
          <w:tcPr>
            <w:tcW w:w="1894" w:type="dxa"/>
            <w:vMerge/>
            <w:vAlign w:val="center"/>
          </w:tcPr>
          <w:p w:rsidR="00C72DBD" w:rsidRDefault="00C72DBD">
            <w:pPr>
              <w:rPr>
                <w:bCs/>
                <w:sz w:val="24"/>
              </w:rPr>
            </w:pPr>
          </w:p>
        </w:tc>
        <w:tc>
          <w:tcPr>
            <w:tcW w:w="1440" w:type="dxa"/>
            <w:vAlign w:val="center"/>
          </w:tcPr>
          <w:p w:rsidR="00C72DBD" w:rsidRDefault="00FC0A09">
            <w:pPr>
              <w:widowControl/>
              <w:jc w:val="center"/>
              <w:textAlignment w:val="center"/>
              <w:rPr>
                <w:bCs/>
                <w:sz w:val="24"/>
              </w:rPr>
            </w:pPr>
            <w:r>
              <w:rPr>
                <w:color w:val="000000"/>
                <w:kern w:val="0"/>
                <w:sz w:val="24"/>
                <w:lang w:bidi="ar"/>
              </w:rPr>
              <w:t xml:space="preserve">1.82 </w:t>
            </w:r>
          </w:p>
        </w:tc>
        <w:tc>
          <w:tcPr>
            <w:tcW w:w="1440" w:type="dxa"/>
            <w:vAlign w:val="center"/>
          </w:tcPr>
          <w:p w:rsidR="00C72DBD" w:rsidRDefault="00C72DBD">
            <w:pPr>
              <w:rPr>
                <w:bCs/>
                <w:sz w:val="24"/>
              </w:rPr>
            </w:pPr>
          </w:p>
        </w:tc>
      </w:tr>
      <w:tr w:rsidR="00C72DBD">
        <w:trPr>
          <w:trHeight w:val="454"/>
          <w:jc w:val="center"/>
        </w:trPr>
        <w:tc>
          <w:tcPr>
            <w:tcW w:w="727" w:type="dxa"/>
            <w:vMerge/>
          </w:tcPr>
          <w:p w:rsidR="00C72DBD" w:rsidRDefault="00C72DBD">
            <w:pPr>
              <w:jc w:val="center"/>
              <w:rPr>
                <w:bCs/>
                <w:sz w:val="24"/>
              </w:rPr>
            </w:pPr>
          </w:p>
        </w:tc>
        <w:tc>
          <w:tcPr>
            <w:tcW w:w="1475" w:type="dxa"/>
            <w:vMerge/>
            <w:vAlign w:val="center"/>
          </w:tcPr>
          <w:p w:rsidR="00C72DBD" w:rsidRDefault="00C72DBD">
            <w:pPr>
              <w:jc w:val="center"/>
              <w:rPr>
                <w:bCs/>
                <w:sz w:val="24"/>
              </w:rPr>
            </w:pPr>
          </w:p>
        </w:tc>
        <w:tc>
          <w:tcPr>
            <w:tcW w:w="1948" w:type="dxa"/>
            <w:vAlign w:val="center"/>
          </w:tcPr>
          <w:p w:rsidR="00C72DBD" w:rsidRDefault="00FC0A09">
            <w:pPr>
              <w:rPr>
                <w:bCs/>
                <w:sz w:val="24"/>
              </w:rPr>
            </w:pPr>
            <w:r>
              <w:rPr>
                <w:bCs/>
                <w:sz w:val="24"/>
              </w:rPr>
              <w:t>焦化：</w:t>
            </w:r>
            <w:r>
              <w:rPr>
                <w:rFonts w:hint="eastAsia"/>
                <w:bCs/>
                <w:sz w:val="24"/>
              </w:rPr>
              <w:t>40.96</w:t>
            </w:r>
          </w:p>
        </w:tc>
        <w:tc>
          <w:tcPr>
            <w:tcW w:w="1894" w:type="dxa"/>
            <w:vMerge/>
            <w:vAlign w:val="center"/>
          </w:tcPr>
          <w:p w:rsidR="00C72DBD" w:rsidRDefault="00C72DBD">
            <w:pPr>
              <w:rPr>
                <w:bCs/>
                <w:sz w:val="24"/>
              </w:rPr>
            </w:pPr>
          </w:p>
        </w:tc>
        <w:tc>
          <w:tcPr>
            <w:tcW w:w="1440" w:type="dxa"/>
            <w:vAlign w:val="center"/>
          </w:tcPr>
          <w:p w:rsidR="00C72DBD" w:rsidRDefault="00FC0A09">
            <w:pPr>
              <w:widowControl/>
              <w:jc w:val="center"/>
              <w:textAlignment w:val="center"/>
              <w:rPr>
                <w:bCs/>
                <w:sz w:val="24"/>
              </w:rPr>
            </w:pPr>
            <w:r>
              <w:rPr>
                <w:color w:val="000000"/>
                <w:kern w:val="0"/>
                <w:sz w:val="24"/>
                <w:lang w:bidi="ar"/>
              </w:rPr>
              <w:t xml:space="preserve">9.02 </w:t>
            </w:r>
          </w:p>
        </w:tc>
        <w:tc>
          <w:tcPr>
            <w:tcW w:w="1440" w:type="dxa"/>
            <w:vAlign w:val="center"/>
          </w:tcPr>
          <w:p w:rsidR="00C72DBD" w:rsidRDefault="00C72DBD">
            <w:pPr>
              <w:rPr>
                <w:bCs/>
                <w:sz w:val="24"/>
              </w:rPr>
            </w:pPr>
          </w:p>
        </w:tc>
      </w:tr>
      <w:tr w:rsidR="00C72DBD">
        <w:trPr>
          <w:trHeight w:val="454"/>
          <w:jc w:val="center"/>
        </w:trPr>
        <w:tc>
          <w:tcPr>
            <w:tcW w:w="727" w:type="dxa"/>
            <w:vMerge/>
          </w:tcPr>
          <w:p w:rsidR="00C72DBD" w:rsidRDefault="00C72DBD">
            <w:pPr>
              <w:jc w:val="center"/>
              <w:rPr>
                <w:bCs/>
                <w:sz w:val="24"/>
              </w:rPr>
            </w:pPr>
          </w:p>
        </w:tc>
        <w:tc>
          <w:tcPr>
            <w:tcW w:w="1475" w:type="dxa"/>
            <w:vMerge/>
            <w:vAlign w:val="center"/>
          </w:tcPr>
          <w:p w:rsidR="00C72DBD" w:rsidRDefault="00C72DBD">
            <w:pPr>
              <w:jc w:val="center"/>
              <w:rPr>
                <w:bCs/>
                <w:sz w:val="24"/>
              </w:rPr>
            </w:pPr>
          </w:p>
        </w:tc>
        <w:tc>
          <w:tcPr>
            <w:tcW w:w="1948" w:type="dxa"/>
            <w:vAlign w:val="center"/>
          </w:tcPr>
          <w:p w:rsidR="00C72DBD" w:rsidRDefault="00FC0A09">
            <w:pPr>
              <w:rPr>
                <w:bCs/>
                <w:sz w:val="24"/>
              </w:rPr>
            </w:pPr>
            <w:r>
              <w:rPr>
                <w:bCs/>
                <w:sz w:val="24"/>
              </w:rPr>
              <w:t>铸管：</w:t>
            </w:r>
            <w:r>
              <w:rPr>
                <w:rFonts w:hint="eastAsia"/>
                <w:bCs/>
                <w:sz w:val="24"/>
              </w:rPr>
              <w:t>75.58</w:t>
            </w:r>
          </w:p>
        </w:tc>
        <w:tc>
          <w:tcPr>
            <w:tcW w:w="1894" w:type="dxa"/>
            <w:vMerge/>
            <w:vAlign w:val="center"/>
          </w:tcPr>
          <w:p w:rsidR="00C72DBD" w:rsidRDefault="00C72DBD">
            <w:pPr>
              <w:rPr>
                <w:bCs/>
                <w:sz w:val="24"/>
              </w:rPr>
            </w:pPr>
          </w:p>
        </w:tc>
        <w:tc>
          <w:tcPr>
            <w:tcW w:w="1440" w:type="dxa"/>
            <w:vAlign w:val="center"/>
          </w:tcPr>
          <w:p w:rsidR="00C72DBD" w:rsidRDefault="00FC0A09">
            <w:pPr>
              <w:widowControl/>
              <w:jc w:val="center"/>
              <w:textAlignment w:val="center"/>
              <w:rPr>
                <w:bCs/>
                <w:sz w:val="24"/>
              </w:rPr>
            </w:pPr>
            <w:r>
              <w:rPr>
                <w:color w:val="000000"/>
                <w:kern w:val="0"/>
                <w:sz w:val="24"/>
                <w:lang w:bidi="ar"/>
              </w:rPr>
              <w:t xml:space="preserve">16.64 </w:t>
            </w:r>
          </w:p>
        </w:tc>
        <w:tc>
          <w:tcPr>
            <w:tcW w:w="1440" w:type="dxa"/>
            <w:vAlign w:val="center"/>
          </w:tcPr>
          <w:p w:rsidR="00C72DBD" w:rsidRDefault="00C72DBD">
            <w:pPr>
              <w:rPr>
                <w:bCs/>
                <w:sz w:val="24"/>
              </w:rPr>
            </w:pPr>
          </w:p>
        </w:tc>
      </w:tr>
      <w:tr w:rsidR="00C72DBD">
        <w:trPr>
          <w:trHeight w:val="454"/>
          <w:jc w:val="center"/>
        </w:trPr>
        <w:tc>
          <w:tcPr>
            <w:tcW w:w="727" w:type="dxa"/>
            <w:vMerge/>
          </w:tcPr>
          <w:p w:rsidR="00C72DBD" w:rsidRDefault="00C72DBD">
            <w:pPr>
              <w:jc w:val="center"/>
              <w:rPr>
                <w:bCs/>
                <w:sz w:val="24"/>
              </w:rPr>
            </w:pPr>
          </w:p>
        </w:tc>
        <w:tc>
          <w:tcPr>
            <w:tcW w:w="1475" w:type="dxa"/>
            <w:vMerge w:val="restart"/>
            <w:vAlign w:val="center"/>
          </w:tcPr>
          <w:p w:rsidR="00C72DBD" w:rsidRDefault="00FC0A09">
            <w:pPr>
              <w:jc w:val="center"/>
              <w:rPr>
                <w:bCs/>
                <w:sz w:val="24"/>
              </w:rPr>
            </w:pPr>
            <w:r>
              <w:rPr>
                <w:bCs/>
                <w:sz w:val="24"/>
              </w:rPr>
              <w:t>氮氧化物</w:t>
            </w:r>
          </w:p>
        </w:tc>
        <w:tc>
          <w:tcPr>
            <w:tcW w:w="1948" w:type="dxa"/>
            <w:vAlign w:val="center"/>
          </w:tcPr>
          <w:p w:rsidR="00C72DBD" w:rsidRDefault="00FC0A09">
            <w:pPr>
              <w:rPr>
                <w:bCs/>
                <w:sz w:val="24"/>
              </w:rPr>
            </w:pPr>
            <w:r>
              <w:rPr>
                <w:bCs/>
                <w:sz w:val="24"/>
              </w:rPr>
              <w:t>烧结：</w:t>
            </w:r>
            <w:r>
              <w:rPr>
                <w:rFonts w:hint="eastAsia"/>
                <w:bCs/>
                <w:sz w:val="24"/>
              </w:rPr>
              <w:t>314.19</w:t>
            </w:r>
          </w:p>
        </w:tc>
        <w:tc>
          <w:tcPr>
            <w:tcW w:w="1894" w:type="dxa"/>
            <w:vMerge w:val="restart"/>
            <w:vAlign w:val="center"/>
          </w:tcPr>
          <w:p w:rsidR="00C72DBD" w:rsidRDefault="00FC0A09">
            <w:pPr>
              <w:jc w:val="center"/>
              <w:rPr>
                <w:bCs/>
                <w:sz w:val="24"/>
              </w:rPr>
            </w:pPr>
            <w:r>
              <w:rPr>
                <w:rFonts w:hint="eastAsia"/>
                <w:bCs/>
                <w:sz w:val="24"/>
              </w:rPr>
              <w:t>3237.70</w:t>
            </w:r>
          </w:p>
        </w:tc>
        <w:tc>
          <w:tcPr>
            <w:tcW w:w="1440" w:type="dxa"/>
            <w:vAlign w:val="center"/>
          </w:tcPr>
          <w:p w:rsidR="00C72DBD" w:rsidRDefault="00FC0A09">
            <w:pPr>
              <w:widowControl/>
              <w:jc w:val="center"/>
              <w:textAlignment w:val="center"/>
              <w:rPr>
                <w:bCs/>
                <w:sz w:val="24"/>
              </w:rPr>
            </w:pPr>
            <w:r>
              <w:rPr>
                <w:color w:val="000000"/>
                <w:kern w:val="0"/>
                <w:sz w:val="24"/>
                <w:lang w:bidi="ar"/>
              </w:rPr>
              <w:t xml:space="preserve">158.75 </w:t>
            </w:r>
          </w:p>
        </w:tc>
        <w:tc>
          <w:tcPr>
            <w:tcW w:w="1440" w:type="dxa"/>
            <w:vAlign w:val="center"/>
          </w:tcPr>
          <w:p w:rsidR="00C72DBD" w:rsidRDefault="00C72DBD">
            <w:pPr>
              <w:rPr>
                <w:bCs/>
                <w:sz w:val="24"/>
              </w:rPr>
            </w:pPr>
          </w:p>
        </w:tc>
      </w:tr>
      <w:tr w:rsidR="00C72DBD">
        <w:trPr>
          <w:trHeight w:val="454"/>
          <w:jc w:val="center"/>
        </w:trPr>
        <w:tc>
          <w:tcPr>
            <w:tcW w:w="727" w:type="dxa"/>
            <w:vMerge/>
          </w:tcPr>
          <w:p w:rsidR="00C72DBD" w:rsidRDefault="00C72DBD">
            <w:pPr>
              <w:jc w:val="center"/>
              <w:rPr>
                <w:bCs/>
                <w:sz w:val="24"/>
              </w:rPr>
            </w:pPr>
          </w:p>
        </w:tc>
        <w:tc>
          <w:tcPr>
            <w:tcW w:w="1475" w:type="dxa"/>
            <w:vMerge/>
            <w:vAlign w:val="center"/>
          </w:tcPr>
          <w:p w:rsidR="00C72DBD" w:rsidRDefault="00C72DBD">
            <w:pPr>
              <w:jc w:val="center"/>
              <w:rPr>
                <w:bCs/>
                <w:sz w:val="24"/>
              </w:rPr>
            </w:pPr>
          </w:p>
        </w:tc>
        <w:tc>
          <w:tcPr>
            <w:tcW w:w="1948" w:type="dxa"/>
            <w:vAlign w:val="center"/>
          </w:tcPr>
          <w:p w:rsidR="00C72DBD" w:rsidRDefault="00FC0A09">
            <w:pPr>
              <w:rPr>
                <w:bCs/>
                <w:sz w:val="24"/>
              </w:rPr>
            </w:pPr>
            <w:r>
              <w:rPr>
                <w:bCs/>
                <w:sz w:val="24"/>
              </w:rPr>
              <w:t>球团：</w:t>
            </w:r>
            <w:r>
              <w:rPr>
                <w:rFonts w:hint="eastAsia"/>
                <w:bCs/>
                <w:sz w:val="24"/>
              </w:rPr>
              <w:t>76.43</w:t>
            </w:r>
          </w:p>
        </w:tc>
        <w:tc>
          <w:tcPr>
            <w:tcW w:w="1894" w:type="dxa"/>
            <w:vMerge/>
            <w:vAlign w:val="center"/>
          </w:tcPr>
          <w:p w:rsidR="00C72DBD" w:rsidRDefault="00C72DBD">
            <w:pPr>
              <w:rPr>
                <w:bCs/>
                <w:sz w:val="24"/>
              </w:rPr>
            </w:pPr>
          </w:p>
        </w:tc>
        <w:tc>
          <w:tcPr>
            <w:tcW w:w="1440" w:type="dxa"/>
            <w:vAlign w:val="center"/>
          </w:tcPr>
          <w:p w:rsidR="00C72DBD" w:rsidRDefault="00FC0A09">
            <w:pPr>
              <w:widowControl/>
              <w:jc w:val="center"/>
              <w:textAlignment w:val="center"/>
              <w:rPr>
                <w:bCs/>
                <w:sz w:val="24"/>
              </w:rPr>
            </w:pPr>
            <w:r>
              <w:rPr>
                <w:color w:val="000000"/>
                <w:kern w:val="0"/>
                <w:sz w:val="24"/>
                <w:lang w:bidi="ar"/>
              </w:rPr>
              <w:t xml:space="preserve">38.62 </w:t>
            </w:r>
          </w:p>
        </w:tc>
        <w:tc>
          <w:tcPr>
            <w:tcW w:w="1440" w:type="dxa"/>
            <w:vAlign w:val="center"/>
          </w:tcPr>
          <w:p w:rsidR="00C72DBD" w:rsidRDefault="00C72DBD">
            <w:pPr>
              <w:rPr>
                <w:bCs/>
                <w:sz w:val="24"/>
              </w:rPr>
            </w:pPr>
          </w:p>
        </w:tc>
      </w:tr>
      <w:tr w:rsidR="00C72DBD">
        <w:trPr>
          <w:trHeight w:val="454"/>
          <w:jc w:val="center"/>
        </w:trPr>
        <w:tc>
          <w:tcPr>
            <w:tcW w:w="727" w:type="dxa"/>
            <w:vMerge/>
          </w:tcPr>
          <w:p w:rsidR="00C72DBD" w:rsidRDefault="00C72DBD">
            <w:pPr>
              <w:jc w:val="center"/>
              <w:rPr>
                <w:bCs/>
                <w:sz w:val="24"/>
              </w:rPr>
            </w:pPr>
          </w:p>
        </w:tc>
        <w:tc>
          <w:tcPr>
            <w:tcW w:w="1475" w:type="dxa"/>
            <w:vMerge/>
            <w:vAlign w:val="center"/>
          </w:tcPr>
          <w:p w:rsidR="00C72DBD" w:rsidRDefault="00C72DBD">
            <w:pPr>
              <w:jc w:val="center"/>
              <w:rPr>
                <w:bCs/>
                <w:sz w:val="24"/>
              </w:rPr>
            </w:pPr>
          </w:p>
        </w:tc>
        <w:tc>
          <w:tcPr>
            <w:tcW w:w="1948" w:type="dxa"/>
            <w:vAlign w:val="center"/>
          </w:tcPr>
          <w:p w:rsidR="00C72DBD" w:rsidRDefault="00FC0A09">
            <w:pPr>
              <w:rPr>
                <w:bCs/>
                <w:sz w:val="24"/>
              </w:rPr>
            </w:pPr>
            <w:r>
              <w:rPr>
                <w:bCs/>
                <w:sz w:val="24"/>
              </w:rPr>
              <w:t>炼铁：</w:t>
            </w:r>
            <w:r>
              <w:rPr>
                <w:rFonts w:hint="eastAsia"/>
                <w:bCs/>
                <w:sz w:val="24"/>
              </w:rPr>
              <w:t>42.96</w:t>
            </w:r>
          </w:p>
        </w:tc>
        <w:tc>
          <w:tcPr>
            <w:tcW w:w="1894" w:type="dxa"/>
            <w:vMerge/>
            <w:vAlign w:val="center"/>
          </w:tcPr>
          <w:p w:rsidR="00C72DBD" w:rsidRDefault="00C72DBD">
            <w:pPr>
              <w:rPr>
                <w:bCs/>
                <w:sz w:val="24"/>
              </w:rPr>
            </w:pPr>
          </w:p>
        </w:tc>
        <w:tc>
          <w:tcPr>
            <w:tcW w:w="1440" w:type="dxa"/>
            <w:vAlign w:val="center"/>
          </w:tcPr>
          <w:p w:rsidR="00C72DBD" w:rsidRDefault="00FC0A09">
            <w:pPr>
              <w:widowControl/>
              <w:jc w:val="center"/>
              <w:textAlignment w:val="center"/>
              <w:rPr>
                <w:bCs/>
                <w:sz w:val="24"/>
              </w:rPr>
            </w:pPr>
            <w:r>
              <w:rPr>
                <w:color w:val="000000"/>
                <w:kern w:val="0"/>
                <w:sz w:val="24"/>
                <w:lang w:bidi="ar"/>
              </w:rPr>
              <w:t xml:space="preserve">21.71 </w:t>
            </w:r>
          </w:p>
        </w:tc>
        <w:tc>
          <w:tcPr>
            <w:tcW w:w="1440" w:type="dxa"/>
            <w:vAlign w:val="center"/>
          </w:tcPr>
          <w:p w:rsidR="00C72DBD" w:rsidRDefault="00C72DBD">
            <w:pPr>
              <w:rPr>
                <w:bCs/>
                <w:sz w:val="24"/>
              </w:rPr>
            </w:pPr>
          </w:p>
        </w:tc>
      </w:tr>
      <w:tr w:rsidR="00C72DBD">
        <w:trPr>
          <w:trHeight w:val="454"/>
          <w:jc w:val="center"/>
        </w:trPr>
        <w:tc>
          <w:tcPr>
            <w:tcW w:w="727" w:type="dxa"/>
            <w:vMerge/>
          </w:tcPr>
          <w:p w:rsidR="00C72DBD" w:rsidRDefault="00C72DBD">
            <w:pPr>
              <w:jc w:val="center"/>
              <w:rPr>
                <w:bCs/>
                <w:sz w:val="24"/>
              </w:rPr>
            </w:pPr>
          </w:p>
        </w:tc>
        <w:tc>
          <w:tcPr>
            <w:tcW w:w="1475" w:type="dxa"/>
            <w:vMerge/>
            <w:vAlign w:val="center"/>
          </w:tcPr>
          <w:p w:rsidR="00C72DBD" w:rsidRDefault="00C72DBD">
            <w:pPr>
              <w:jc w:val="center"/>
              <w:rPr>
                <w:bCs/>
                <w:sz w:val="24"/>
              </w:rPr>
            </w:pPr>
          </w:p>
        </w:tc>
        <w:tc>
          <w:tcPr>
            <w:tcW w:w="1948" w:type="dxa"/>
            <w:vAlign w:val="center"/>
          </w:tcPr>
          <w:p w:rsidR="00C72DBD" w:rsidRDefault="00FC0A09">
            <w:pPr>
              <w:rPr>
                <w:bCs/>
                <w:sz w:val="24"/>
              </w:rPr>
            </w:pPr>
            <w:r>
              <w:rPr>
                <w:bCs/>
                <w:sz w:val="24"/>
              </w:rPr>
              <w:t>白灰：</w:t>
            </w:r>
            <w:r>
              <w:rPr>
                <w:rFonts w:hint="eastAsia"/>
                <w:bCs/>
                <w:sz w:val="24"/>
              </w:rPr>
              <w:t>95.25</w:t>
            </w:r>
          </w:p>
        </w:tc>
        <w:tc>
          <w:tcPr>
            <w:tcW w:w="1894" w:type="dxa"/>
            <w:vMerge/>
            <w:vAlign w:val="center"/>
          </w:tcPr>
          <w:p w:rsidR="00C72DBD" w:rsidRDefault="00C72DBD">
            <w:pPr>
              <w:rPr>
                <w:bCs/>
                <w:sz w:val="24"/>
              </w:rPr>
            </w:pPr>
          </w:p>
        </w:tc>
        <w:tc>
          <w:tcPr>
            <w:tcW w:w="1440" w:type="dxa"/>
            <w:vAlign w:val="center"/>
          </w:tcPr>
          <w:p w:rsidR="00C72DBD" w:rsidRDefault="00FC0A09">
            <w:pPr>
              <w:widowControl/>
              <w:jc w:val="center"/>
              <w:textAlignment w:val="center"/>
              <w:rPr>
                <w:bCs/>
                <w:sz w:val="24"/>
              </w:rPr>
            </w:pPr>
            <w:r>
              <w:rPr>
                <w:color w:val="000000"/>
                <w:kern w:val="0"/>
                <w:sz w:val="24"/>
                <w:lang w:bidi="ar"/>
              </w:rPr>
              <w:t xml:space="preserve">48.13 </w:t>
            </w:r>
          </w:p>
        </w:tc>
        <w:tc>
          <w:tcPr>
            <w:tcW w:w="1440" w:type="dxa"/>
            <w:vAlign w:val="center"/>
          </w:tcPr>
          <w:p w:rsidR="00C72DBD" w:rsidRDefault="00C72DBD">
            <w:pPr>
              <w:rPr>
                <w:bCs/>
                <w:sz w:val="24"/>
              </w:rPr>
            </w:pPr>
          </w:p>
        </w:tc>
      </w:tr>
      <w:tr w:rsidR="00C72DBD">
        <w:trPr>
          <w:trHeight w:val="454"/>
          <w:jc w:val="center"/>
        </w:trPr>
        <w:tc>
          <w:tcPr>
            <w:tcW w:w="727" w:type="dxa"/>
            <w:vMerge/>
          </w:tcPr>
          <w:p w:rsidR="00C72DBD" w:rsidRDefault="00C72DBD">
            <w:pPr>
              <w:jc w:val="center"/>
              <w:rPr>
                <w:bCs/>
                <w:sz w:val="24"/>
              </w:rPr>
            </w:pPr>
          </w:p>
        </w:tc>
        <w:tc>
          <w:tcPr>
            <w:tcW w:w="1475" w:type="dxa"/>
            <w:vMerge/>
            <w:vAlign w:val="center"/>
          </w:tcPr>
          <w:p w:rsidR="00C72DBD" w:rsidRDefault="00C72DBD">
            <w:pPr>
              <w:jc w:val="center"/>
              <w:rPr>
                <w:bCs/>
                <w:sz w:val="24"/>
              </w:rPr>
            </w:pPr>
          </w:p>
        </w:tc>
        <w:tc>
          <w:tcPr>
            <w:tcW w:w="1948" w:type="dxa"/>
            <w:vAlign w:val="center"/>
          </w:tcPr>
          <w:p w:rsidR="00C72DBD" w:rsidRDefault="00FC0A09">
            <w:pPr>
              <w:rPr>
                <w:bCs/>
                <w:sz w:val="24"/>
              </w:rPr>
            </w:pPr>
            <w:r>
              <w:rPr>
                <w:bCs/>
                <w:sz w:val="24"/>
              </w:rPr>
              <w:t>轧钢：</w:t>
            </w:r>
            <w:r>
              <w:rPr>
                <w:rFonts w:hint="eastAsia"/>
                <w:bCs/>
                <w:sz w:val="24"/>
              </w:rPr>
              <w:t>78.42</w:t>
            </w:r>
          </w:p>
        </w:tc>
        <w:tc>
          <w:tcPr>
            <w:tcW w:w="1894" w:type="dxa"/>
            <w:vMerge/>
            <w:vAlign w:val="center"/>
          </w:tcPr>
          <w:p w:rsidR="00C72DBD" w:rsidRDefault="00C72DBD">
            <w:pPr>
              <w:rPr>
                <w:bCs/>
                <w:sz w:val="24"/>
              </w:rPr>
            </w:pPr>
          </w:p>
        </w:tc>
        <w:tc>
          <w:tcPr>
            <w:tcW w:w="1440" w:type="dxa"/>
            <w:vAlign w:val="center"/>
          </w:tcPr>
          <w:p w:rsidR="00C72DBD" w:rsidRDefault="00FC0A09">
            <w:pPr>
              <w:widowControl/>
              <w:jc w:val="center"/>
              <w:textAlignment w:val="center"/>
              <w:rPr>
                <w:bCs/>
                <w:sz w:val="24"/>
              </w:rPr>
            </w:pPr>
            <w:r>
              <w:rPr>
                <w:color w:val="000000"/>
                <w:kern w:val="0"/>
                <w:sz w:val="24"/>
                <w:lang w:bidi="ar"/>
              </w:rPr>
              <w:t xml:space="preserve">39.62 </w:t>
            </w:r>
          </w:p>
        </w:tc>
        <w:tc>
          <w:tcPr>
            <w:tcW w:w="1440" w:type="dxa"/>
            <w:vAlign w:val="center"/>
          </w:tcPr>
          <w:p w:rsidR="00C72DBD" w:rsidRDefault="00C72DBD">
            <w:pPr>
              <w:rPr>
                <w:bCs/>
                <w:sz w:val="24"/>
              </w:rPr>
            </w:pPr>
          </w:p>
        </w:tc>
      </w:tr>
      <w:tr w:rsidR="00C72DBD">
        <w:trPr>
          <w:trHeight w:val="454"/>
          <w:jc w:val="center"/>
        </w:trPr>
        <w:tc>
          <w:tcPr>
            <w:tcW w:w="727" w:type="dxa"/>
            <w:vMerge/>
          </w:tcPr>
          <w:p w:rsidR="00C72DBD" w:rsidRDefault="00C72DBD">
            <w:pPr>
              <w:jc w:val="center"/>
              <w:rPr>
                <w:bCs/>
                <w:sz w:val="24"/>
              </w:rPr>
            </w:pPr>
          </w:p>
        </w:tc>
        <w:tc>
          <w:tcPr>
            <w:tcW w:w="1475" w:type="dxa"/>
            <w:vMerge/>
            <w:vAlign w:val="center"/>
          </w:tcPr>
          <w:p w:rsidR="00C72DBD" w:rsidRDefault="00C72DBD">
            <w:pPr>
              <w:jc w:val="center"/>
              <w:rPr>
                <w:bCs/>
                <w:sz w:val="24"/>
              </w:rPr>
            </w:pPr>
          </w:p>
        </w:tc>
        <w:tc>
          <w:tcPr>
            <w:tcW w:w="1948" w:type="dxa"/>
            <w:vAlign w:val="center"/>
          </w:tcPr>
          <w:p w:rsidR="00C72DBD" w:rsidRDefault="00FC0A09">
            <w:pPr>
              <w:rPr>
                <w:bCs/>
                <w:sz w:val="24"/>
              </w:rPr>
            </w:pPr>
            <w:r>
              <w:rPr>
                <w:bCs/>
                <w:sz w:val="24"/>
              </w:rPr>
              <w:t>发电：</w:t>
            </w:r>
            <w:r>
              <w:rPr>
                <w:rFonts w:hint="eastAsia"/>
                <w:bCs/>
                <w:sz w:val="24"/>
              </w:rPr>
              <w:t>57.92</w:t>
            </w:r>
          </w:p>
        </w:tc>
        <w:tc>
          <w:tcPr>
            <w:tcW w:w="1894" w:type="dxa"/>
            <w:vMerge/>
            <w:vAlign w:val="center"/>
          </w:tcPr>
          <w:p w:rsidR="00C72DBD" w:rsidRDefault="00C72DBD">
            <w:pPr>
              <w:rPr>
                <w:bCs/>
                <w:sz w:val="24"/>
              </w:rPr>
            </w:pPr>
          </w:p>
        </w:tc>
        <w:tc>
          <w:tcPr>
            <w:tcW w:w="1440" w:type="dxa"/>
            <w:vAlign w:val="center"/>
          </w:tcPr>
          <w:p w:rsidR="00C72DBD" w:rsidRDefault="00FC0A09">
            <w:pPr>
              <w:widowControl/>
              <w:jc w:val="center"/>
              <w:textAlignment w:val="center"/>
              <w:rPr>
                <w:bCs/>
                <w:sz w:val="24"/>
              </w:rPr>
            </w:pPr>
            <w:r>
              <w:rPr>
                <w:color w:val="000000"/>
                <w:kern w:val="0"/>
                <w:sz w:val="24"/>
                <w:lang w:bidi="ar"/>
              </w:rPr>
              <w:t xml:space="preserve">29.26 </w:t>
            </w:r>
          </w:p>
        </w:tc>
        <w:tc>
          <w:tcPr>
            <w:tcW w:w="1440" w:type="dxa"/>
            <w:vAlign w:val="center"/>
          </w:tcPr>
          <w:p w:rsidR="00C72DBD" w:rsidRDefault="00C72DBD">
            <w:pPr>
              <w:rPr>
                <w:bCs/>
                <w:sz w:val="24"/>
              </w:rPr>
            </w:pPr>
          </w:p>
        </w:tc>
      </w:tr>
      <w:tr w:rsidR="00C72DBD">
        <w:trPr>
          <w:trHeight w:val="454"/>
          <w:jc w:val="center"/>
        </w:trPr>
        <w:tc>
          <w:tcPr>
            <w:tcW w:w="727" w:type="dxa"/>
            <w:vMerge/>
          </w:tcPr>
          <w:p w:rsidR="00C72DBD" w:rsidRDefault="00C72DBD">
            <w:pPr>
              <w:jc w:val="center"/>
              <w:rPr>
                <w:bCs/>
                <w:sz w:val="24"/>
              </w:rPr>
            </w:pPr>
          </w:p>
        </w:tc>
        <w:tc>
          <w:tcPr>
            <w:tcW w:w="1475" w:type="dxa"/>
            <w:vMerge/>
            <w:vAlign w:val="center"/>
          </w:tcPr>
          <w:p w:rsidR="00C72DBD" w:rsidRDefault="00C72DBD">
            <w:pPr>
              <w:jc w:val="center"/>
              <w:rPr>
                <w:bCs/>
                <w:sz w:val="24"/>
              </w:rPr>
            </w:pPr>
          </w:p>
        </w:tc>
        <w:tc>
          <w:tcPr>
            <w:tcW w:w="1948" w:type="dxa"/>
            <w:vAlign w:val="center"/>
          </w:tcPr>
          <w:p w:rsidR="00C72DBD" w:rsidRDefault="00FC0A09">
            <w:pPr>
              <w:rPr>
                <w:bCs/>
                <w:sz w:val="24"/>
              </w:rPr>
            </w:pPr>
            <w:r>
              <w:rPr>
                <w:bCs/>
                <w:sz w:val="24"/>
              </w:rPr>
              <w:t>焦化：</w:t>
            </w:r>
            <w:r>
              <w:rPr>
                <w:rFonts w:hint="eastAsia"/>
                <w:bCs/>
                <w:sz w:val="24"/>
              </w:rPr>
              <w:t>233.15</w:t>
            </w:r>
          </w:p>
        </w:tc>
        <w:tc>
          <w:tcPr>
            <w:tcW w:w="1894" w:type="dxa"/>
            <w:vMerge/>
            <w:vAlign w:val="center"/>
          </w:tcPr>
          <w:p w:rsidR="00C72DBD" w:rsidRDefault="00C72DBD">
            <w:pPr>
              <w:rPr>
                <w:bCs/>
                <w:sz w:val="24"/>
              </w:rPr>
            </w:pPr>
          </w:p>
        </w:tc>
        <w:tc>
          <w:tcPr>
            <w:tcW w:w="1440" w:type="dxa"/>
            <w:vAlign w:val="center"/>
          </w:tcPr>
          <w:p w:rsidR="00C72DBD" w:rsidRDefault="00FC0A09">
            <w:pPr>
              <w:widowControl/>
              <w:jc w:val="center"/>
              <w:textAlignment w:val="center"/>
              <w:rPr>
                <w:bCs/>
                <w:sz w:val="24"/>
              </w:rPr>
            </w:pPr>
            <w:r>
              <w:rPr>
                <w:color w:val="000000"/>
                <w:kern w:val="0"/>
                <w:sz w:val="24"/>
                <w:lang w:bidi="ar"/>
              </w:rPr>
              <w:t xml:space="preserve">117.80 </w:t>
            </w:r>
          </w:p>
        </w:tc>
        <w:tc>
          <w:tcPr>
            <w:tcW w:w="1440" w:type="dxa"/>
            <w:vAlign w:val="center"/>
          </w:tcPr>
          <w:p w:rsidR="00C72DBD" w:rsidRDefault="00C72DBD">
            <w:pPr>
              <w:rPr>
                <w:bCs/>
                <w:sz w:val="24"/>
              </w:rPr>
            </w:pPr>
          </w:p>
        </w:tc>
      </w:tr>
      <w:tr w:rsidR="00C72DBD">
        <w:trPr>
          <w:trHeight w:val="454"/>
          <w:jc w:val="center"/>
        </w:trPr>
        <w:tc>
          <w:tcPr>
            <w:tcW w:w="727" w:type="dxa"/>
            <w:vMerge/>
          </w:tcPr>
          <w:p w:rsidR="00C72DBD" w:rsidRDefault="00C72DBD">
            <w:pPr>
              <w:jc w:val="center"/>
              <w:rPr>
                <w:bCs/>
                <w:sz w:val="24"/>
              </w:rPr>
            </w:pPr>
          </w:p>
        </w:tc>
        <w:tc>
          <w:tcPr>
            <w:tcW w:w="1475" w:type="dxa"/>
            <w:vMerge/>
            <w:vAlign w:val="center"/>
          </w:tcPr>
          <w:p w:rsidR="00C72DBD" w:rsidRDefault="00C72DBD">
            <w:pPr>
              <w:jc w:val="center"/>
              <w:rPr>
                <w:bCs/>
                <w:sz w:val="24"/>
              </w:rPr>
            </w:pPr>
          </w:p>
        </w:tc>
        <w:tc>
          <w:tcPr>
            <w:tcW w:w="1948" w:type="dxa"/>
            <w:vAlign w:val="center"/>
          </w:tcPr>
          <w:p w:rsidR="00C72DBD" w:rsidRDefault="00FC0A09">
            <w:pPr>
              <w:rPr>
                <w:bCs/>
                <w:sz w:val="24"/>
              </w:rPr>
            </w:pPr>
            <w:r>
              <w:rPr>
                <w:bCs/>
                <w:sz w:val="24"/>
              </w:rPr>
              <w:t>铸管：</w:t>
            </w:r>
            <w:r>
              <w:rPr>
                <w:rFonts w:hint="eastAsia"/>
                <w:bCs/>
                <w:sz w:val="24"/>
              </w:rPr>
              <w:t>40.46</w:t>
            </w:r>
          </w:p>
        </w:tc>
        <w:tc>
          <w:tcPr>
            <w:tcW w:w="1894" w:type="dxa"/>
            <w:vMerge/>
            <w:vAlign w:val="center"/>
          </w:tcPr>
          <w:p w:rsidR="00C72DBD" w:rsidRDefault="00C72DBD">
            <w:pPr>
              <w:rPr>
                <w:bCs/>
                <w:sz w:val="24"/>
              </w:rPr>
            </w:pPr>
          </w:p>
        </w:tc>
        <w:tc>
          <w:tcPr>
            <w:tcW w:w="1440" w:type="dxa"/>
            <w:vAlign w:val="center"/>
          </w:tcPr>
          <w:p w:rsidR="00C72DBD" w:rsidRDefault="00FC0A09">
            <w:pPr>
              <w:widowControl/>
              <w:jc w:val="center"/>
              <w:textAlignment w:val="center"/>
              <w:rPr>
                <w:bCs/>
                <w:sz w:val="24"/>
              </w:rPr>
            </w:pPr>
            <w:r>
              <w:rPr>
                <w:color w:val="000000"/>
                <w:kern w:val="0"/>
                <w:sz w:val="24"/>
                <w:lang w:bidi="ar"/>
              </w:rPr>
              <w:t xml:space="preserve">20.44 </w:t>
            </w:r>
          </w:p>
        </w:tc>
        <w:tc>
          <w:tcPr>
            <w:tcW w:w="1440" w:type="dxa"/>
            <w:vAlign w:val="center"/>
          </w:tcPr>
          <w:p w:rsidR="00C72DBD" w:rsidRDefault="00C72DBD">
            <w:pPr>
              <w:rPr>
                <w:bCs/>
                <w:sz w:val="24"/>
              </w:rPr>
            </w:pPr>
          </w:p>
        </w:tc>
      </w:tr>
    </w:tbl>
    <w:p w:rsidR="00C72DBD" w:rsidRDefault="00FC0A09">
      <w:pPr>
        <w:rPr>
          <w:rFonts w:ascii="宋体" w:cs="仿宋_GB2312"/>
          <w:bCs/>
          <w:sz w:val="28"/>
          <w:szCs w:val="28"/>
        </w:rPr>
      </w:pPr>
      <w:r>
        <w:rPr>
          <w:rFonts w:ascii="宋体" w:cs="仿宋_GB2312" w:hint="eastAsia"/>
          <w:bCs/>
          <w:sz w:val="28"/>
          <w:szCs w:val="28"/>
        </w:rPr>
        <w:t>注：根据企业排污许可证上规定污染物种类填写。</w:t>
      </w:r>
    </w:p>
    <w:p w:rsidR="00C72DBD" w:rsidRDefault="00FC0A09">
      <w:pPr>
        <w:widowControl/>
        <w:jc w:val="left"/>
        <w:rPr>
          <w:rFonts w:ascii="宋体" w:eastAsia="黑体" w:cs="仿宋_GB2312"/>
          <w:bCs/>
          <w:sz w:val="28"/>
          <w:szCs w:val="28"/>
        </w:rPr>
      </w:pPr>
      <w:r>
        <w:rPr>
          <w:rFonts w:ascii="宋体" w:eastAsia="黑体" w:cs="仿宋_GB2312"/>
          <w:bCs/>
          <w:sz w:val="28"/>
          <w:szCs w:val="28"/>
        </w:rPr>
        <w:br w:type="page"/>
      </w:r>
    </w:p>
    <w:p w:rsidR="00C72DBD" w:rsidRDefault="00FC0A09" w:rsidP="00A76DEC">
      <w:pPr>
        <w:spacing w:afterLines="50" w:after="156"/>
        <w:jc w:val="center"/>
        <w:rPr>
          <w:rFonts w:eastAsia="黑体" w:cs="黑体"/>
          <w:sz w:val="36"/>
          <w:szCs w:val="36"/>
        </w:rPr>
      </w:pPr>
      <w:r>
        <w:rPr>
          <w:rFonts w:eastAsia="黑体" w:cs="黑体" w:hint="eastAsia"/>
          <w:sz w:val="36"/>
          <w:szCs w:val="36"/>
        </w:rPr>
        <w:t>四、钢铁企业绿色高质量发展指数自测</w:t>
      </w:r>
    </w:p>
    <w:p w:rsidR="00C72DBD" w:rsidRDefault="00FC0A09" w:rsidP="00A76DEC">
      <w:pPr>
        <w:spacing w:afterLines="50" w:after="156"/>
        <w:jc w:val="center"/>
        <w:rPr>
          <w:rFonts w:asciiTheme="minorEastAsia" w:eastAsiaTheme="minorEastAsia" w:hAnsiTheme="minorEastAsia" w:cs="等线"/>
          <w:color w:val="000000"/>
          <w:sz w:val="24"/>
        </w:rPr>
      </w:pPr>
      <w:r>
        <w:rPr>
          <w:rFonts w:asciiTheme="minorEastAsia" w:eastAsiaTheme="minorEastAsia" w:hAnsiTheme="minorEastAsia" w:cs="等线" w:hint="eastAsia"/>
          <w:color w:val="000000"/>
          <w:sz w:val="24"/>
        </w:rPr>
        <w:t>具体要求见《钢铁企业绿色高质量发展指数》(</w:t>
      </w:r>
      <w:r>
        <w:rPr>
          <w:rFonts w:asciiTheme="minorEastAsia" w:eastAsiaTheme="minorEastAsia" w:hAnsiTheme="minorEastAsia" w:cs="等线"/>
          <w:color w:val="000000"/>
          <w:sz w:val="24"/>
        </w:rPr>
        <w:t>T/CISA044-2020</w:t>
      </w:r>
      <w:r>
        <w:rPr>
          <w:rFonts w:asciiTheme="minorEastAsia" w:eastAsiaTheme="minorEastAsia" w:hAnsiTheme="minorEastAsia" w:cs="等线" w:hint="eastAsia"/>
          <w:color w:val="000000"/>
          <w:sz w:val="24"/>
        </w:rPr>
        <w:t>)团体标准</w:t>
      </w:r>
      <w:r>
        <w:rPr>
          <w:rFonts w:ascii="宋体" w:hAnsi="宋体" w:cs="仿宋_GB2312" w:hint="eastAsia"/>
          <w:bCs/>
          <w:sz w:val="24"/>
        </w:rPr>
        <w:t>。数据以2023年全年数据为主，兼顾2022年全年和2024年一季度。</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389"/>
        <w:gridCol w:w="972"/>
        <w:gridCol w:w="3251"/>
        <w:gridCol w:w="1093"/>
        <w:gridCol w:w="1266"/>
        <w:gridCol w:w="984"/>
      </w:tblGrid>
      <w:tr w:rsidR="00C72DBD">
        <w:trPr>
          <w:trHeight w:val="583"/>
          <w:tblHeader/>
          <w:jc w:val="center"/>
        </w:trPr>
        <w:tc>
          <w:tcPr>
            <w:tcW w:w="450" w:type="pct"/>
            <w:vAlign w:val="center"/>
          </w:tcPr>
          <w:p w:rsidR="00C72DBD" w:rsidRDefault="00FC0A09">
            <w:pPr>
              <w:widowControl/>
              <w:spacing w:line="360" w:lineRule="atLeast"/>
              <w:contextualSpacing/>
              <w:jc w:val="center"/>
              <w:rPr>
                <w:b/>
                <w:bCs/>
                <w:color w:val="000000"/>
                <w:kern w:val="0"/>
                <w:sz w:val="24"/>
              </w:rPr>
            </w:pPr>
            <w:r>
              <w:rPr>
                <w:b/>
                <w:bCs/>
                <w:color w:val="000000"/>
                <w:kern w:val="0"/>
                <w:sz w:val="24"/>
              </w:rPr>
              <w:t>序号</w:t>
            </w:r>
          </w:p>
        </w:tc>
        <w:tc>
          <w:tcPr>
            <w:tcW w:w="778" w:type="pct"/>
            <w:gridSpan w:val="2"/>
            <w:vAlign w:val="center"/>
          </w:tcPr>
          <w:p w:rsidR="00C72DBD" w:rsidRDefault="00FC0A09">
            <w:pPr>
              <w:widowControl/>
              <w:spacing w:line="360" w:lineRule="atLeast"/>
              <w:contextualSpacing/>
              <w:jc w:val="center"/>
              <w:rPr>
                <w:b/>
                <w:bCs/>
                <w:color w:val="000000"/>
                <w:kern w:val="0"/>
                <w:sz w:val="24"/>
              </w:rPr>
            </w:pPr>
            <w:r>
              <w:rPr>
                <w:b/>
                <w:bCs/>
                <w:color w:val="000000"/>
                <w:kern w:val="0"/>
                <w:sz w:val="24"/>
              </w:rPr>
              <w:t>指标分类</w:t>
            </w:r>
          </w:p>
        </w:tc>
        <w:tc>
          <w:tcPr>
            <w:tcW w:w="1859" w:type="pct"/>
            <w:vAlign w:val="center"/>
          </w:tcPr>
          <w:p w:rsidR="00C72DBD" w:rsidRDefault="00FC0A09">
            <w:pPr>
              <w:widowControl/>
              <w:spacing w:line="360" w:lineRule="atLeast"/>
              <w:contextualSpacing/>
              <w:jc w:val="center"/>
              <w:rPr>
                <w:b/>
                <w:bCs/>
                <w:color w:val="000000"/>
                <w:kern w:val="0"/>
                <w:sz w:val="24"/>
              </w:rPr>
            </w:pPr>
            <w:r>
              <w:rPr>
                <w:b/>
                <w:bCs/>
                <w:color w:val="000000"/>
                <w:kern w:val="0"/>
                <w:sz w:val="24"/>
              </w:rPr>
              <w:t>指标名称</w:t>
            </w:r>
          </w:p>
        </w:tc>
        <w:tc>
          <w:tcPr>
            <w:tcW w:w="625" w:type="pct"/>
            <w:vAlign w:val="center"/>
          </w:tcPr>
          <w:p w:rsidR="00C72DBD" w:rsidRDefault="00FC0A09">
            <w:pPr>
              <w:widowControl/>
              <w:spacing w:line="360" w:lineRule="atLeast"/>
              <w:contextualSpacing/>
              <w:jc w:val="center"/>
              <w:rPr>
                <w:b/>
                <w:bCs/>
                <w:color w:val="000000"/>
                <w:kern w:val="0"/>
                <w:sz w:val="24"/>
              </w:rPr>
            </w:pPr>
            <w:r>
              <w:rPr>
                <w:b/>
                <w:bCs/>
                <w:color w:val="000000"/>
                <w:kern w:val="0"/>
                <w:sz w:val="24"/>
              </w:rPr>
              <w:t>单位</w:t>
            </w:r>
          </w:p>
        </w:tc>
        <w:tc>
          <w:tcPr>
            <w:tcW w:w="722" w:type="pct"/>
            <w:vAlign w:val="center"/>
          </w:tcPr>
          <w:p w:rsidR="00C72DBD" w:rsidRDefault="00FC0A09">
            <w:pPr>
              <w:widowControl/>
              <w:spacing w:line="360" w:lineRule="atLeast"/>
              <w:contextualSpacing/>
              <w:jc w:val="center"/>
              <w:rPr>
                <w:b/>
                <w:bCs/>
                <w:color w:val="000000"/>
                <w:kern w:val="0"/>
                <w:sz w:val="24"/>
              </w:rPr>
            </w:pPr>
            <w:r>
              <w:rPr>
                <w:b/>
                <w:bCs/>
                <w:color w:val="000000"/>
                <w:kern w:val="0"/>
                <w:sz w:val="24"/>
              </w:rPr>
              <w:t>实际值</w:t>
            </w:r>
          </w:p>
        </w:tc>
        <w:tc>
          <w:tcPr>
            <w:tcW w:w="562" w:type="pct"/>
            <w:vAlign w:val="center"/>
          </w:tcPr>
          <w:p w:rsidR="00C72DBD" w:rsidRDefault="00FC0A09">
            <w:pPr>
              <w:widowControl/>
              <w:spacing w:line="360" w:lineRule="atLeast"/>
              <w:contextualSpacing/>
              <w:jc w:val="center"/>
              <w:rPr>
                <w:b/>
                <w:bCs/>
                <w:color w:val="000000"/>
                <w:kern w:val="0"/>
                <w:sz w:val="24"/>
              </w:rPr>
            </w:pPr>
            <w:r>
              <w:rPr>
                <w:b/>
                <w:bCs/>
                <w:color w:val="000000"/>
                <w:kern w:val="0"/>
                <w:sz w:val="24"/>
              </w:rPr>
              <w:t>自测分</w:t>
            </w:r>
          </w:p>
        </w:tc>
      </w:tr>
      <w:tr w:rsidR="00C72DBD">
        <w:trPr>
          <w:trHeight w:val="454"/>
          <w:jc w:val="center"/>
        </w:trPr>
        <w:tc>
          <w:tcPr>
            <w:tcW w:w="450" w:type="pct"/>
            <w:vAlign w:val="center"/>
          </w:tcPr>
          <w:p w:rsidR="00C72DBD" w:rsidRDefault="00FC0A09">
            <w:pPr>
              <w:widowControl/>
              <w:spacing w:line="360" w:lineRule="atLeast"/>
              <w:contextualSpacing/>
              <w:jc w:val="center"/>
              <w:rPr>
                <w:color w:val="000000"/>
                <w:kern w:val="0"/>
                <w:sz w:val="24"/>
              </w:rPr>
            </w:pPr>
            <w:r>
              <w:rPr>
                <w:color w:val="000000"/>
                <w:kern w:val="0"/>
                <w:sz w:val="24"/>
              </w:rPr>
              <w:t>1</w:t>
            </w:r>
          </w:p>
        </w:tc>
        <w:tc>
          <w:tcPr>
            <w:tcW w:w="778" w:type="pct"/>
            <w:gridSpan w:val="2"/>
            <w:vMerge w:val="restart"/>
            <w:vAlign w:val="center"/>
          </w:tcPr>
          <w:p w:rsidR="00C72DBD" w:rsidRDefault="00FC0A09">
            <w:pPr>
              <w:widowControl/>
              <w:spacing w:line="360" w:lineRule="atLeast"/>
              <w:contextualSpacing/>
              <w:jc w:val="center"/>
              <w:rPr>
                <w:color w:val="000000"/>
                <w:kern w:val="0"/>
                <w:sz w:val="24"/>
              </w:rPr>
            </w:pPr>
            <w:r>
              <w:rPr>
                <w:color w:val="000000"/>
                <w:kern w:val="0"/>
                <w:sz w:val="24"/>
              </w:rPr>
              <w:t>装备技术</w:t>
            </w:r>
          </w:p>
        </w:tc>
        <w:tc>
          <w:tcPr>
            <w:tcW w:w="1859" w:type="pct"/>
            <w:vAlign w:val="center"/>
          </w:tcPr>
          <w:p w:rsidR="00C72DBD" w:rsidRDefault="00FC0A09">
            <w:pPr>
              <w:widowControl/>
              <w:spacing w:line="360" w:lineRule="atLeast"/>
              <w:contextualSpacing/>
              <w:jc w:val="left"/>
              <w:rPr>
                <w:color w:val="000000"/>
                <w:kern w:val="0"/>
                <w:sz w:val="24"/>
              </w:rPr>
            </w:pPr>
            <w:r>
              <w:rPr>
                <w:color w:val="000000"/>
                <w:kern w:val="0"/>
                <w:sz w:val="24"/>
              </w:rPr>
              <w:t>装备水平</w:t>
            </w:r>
          </w:p>
        </w:tc>
        <w:tc>
          <w:tcPr>
            <w:tcW w:w="625" w:type="pct"/>
            <w:vAlign w:val="center"/>
          </w:tcPr>
          <w:p w:rsidR="00C72DBD" w:rsidRDefault="00FC0A09">
            <w:pPr>
              <w:widowControl/>
              <w:spacing w:line="360" w:lineRule="atLeast"/>
              <w:contextualSpacing/>
              <w:jc w:val="center"/>
              <w:rPr>
                <w:color w:val="000000"/>
                <w:kern w:val="0"/>
                <w:sz w:val="24"/>
              </w:rPr>
            </w:pPr>
            <w:r>
              <w:rPr>
                <w:color w:val="000000"/>
                <w:kern w:val="0"/>
                <w:sz w:val="24"/>
              </w:rPr>
              <w:t>—</w:t>
            </w:r>
          </w:p>
        </w:tc>
        <w:tc>
          <w:tcPr>
            <w:tcW w:w="722" w:type="pct"/>
            <w:vAlign w:val="center"/>
          </w:tcPr>
          <w:p w:rsidR="00C72DBD" w:rsidRDefault="00FC0A09">
            <w:pPr>
              <w:widowControl/>
              <w:spacing w:line="360" w:lineRule="atLeast"/>
              <w:contextualSpacing/>
              <w:jc w:val="center"/>
              <w:rPr>
                <w:color w:val="000000"/>
                <w:kern w:val="0"/>
                <w:sz w:val="24"/>
              </w:rPr>
            </w:pPr>
            <w:r>
              <w:rPr>
                <w:color w:val="000000"/>
                <w:kern w:val="0"/>
                <w:sz w:val="24"/>
              </w:rPr>
              <w:t>6.73m</w:t>
            </w:r>
            <w:r>
              <w:rPr>
                <w:color w:val="000000"/>
                <w:kern w:val="0"/>
                <w:sz w:val="24"/>
              </w:rPr>
              <w:t>捣固焦炉产能占比</w:t>
            </w:r>
            <w:r>
              <w:rPr>
                <w:color w:val="000000"/>
                <w:kern w:val="0"/>
                <w:sz w:val="24"/>
              </w:rPr>
              <w:t>100%</w:t>
            </w:r>
          </w:p>
        </w:tc>
        <w:tc>
          <w:tcPr>
            <w:tcW w:w="562" w:type="pct"/>
            <w:vAlign w:val="center"/>
          </w:tcPr>
          <w:p w:rsidR="00C72DBD" w:rsidRDefault="00FC0A09">
            <w:pPr>
              <w:widowControl/>
              <w:spacing w:line="360" w:lineRule="atLeast"/>
              <w:contextualSpacing/>
              <w:jc w:val="center"/>
              <w:rPr>
                <w:color w:val="000000"/>
                <w:kern w:val="0"/>
                <w:sz w:val="24"/>
              </w:rPr>
            </w:pPr>
            <w:r>
              <w:rPr>
                <w:color w:val="000000"/>
                <w:kern w:val="0"/>
                <w:sz w:val="24"/>
              </w:rPr>
              <w:t>1</w:t>
            </w:r>
          </w:p>
        </w:tc>
      </w:tr>
      <w:tr w:rsidR="00C72DBD">
        <w:trPr>
          <w:trHeight w:val="454"/>
          <w:jc w:val="center"/>
        </w:trPr>
        <w:tc>
          <w:tcPr>
            <w:tcW w:w="450" w:type="pct"/>
            <w:vAlign w:val="center"/>
          </w:tcPr>
          <w:p w:rsidR="00C72DBD" w:rsidRDefault="00FC0A09">
            <w:pPr>
              <w:widowControl/>
              <w:spacing w:line="360" w:lineRule="atLeast"/>
              <w:contextualSpacing/>
              <w:jc w:val="center"/>
              <w:rPr>
                <w:color w:val="000000"/>
                <w:kern w:val="0"/>
                <w:sz w:val="24"/>
              </w:rPr>
            </w:pPr>
            <w:r>
              <w:rPr>
                <w:color w:val="000000"/>
                <w:kern w:val="0"/>
                <w:sz w:val="24"/>
              </w:rPr>
              <w:t>2</w:t>
            </w:r>
          </w:p>
        </w:tc>
        <w:tc>
          <w:tcPr>
            <w:tcW w:w="778" w:type="pct"/>
            <w:gridSpan w:val="2"/>
            <w:vMerge/>
            <w:vAlign w:val="center"/>
          </w:tcPr>
          <w:p w:rsidR="00C72DBD" w:rsidRDefault="00C72DBD">
            <w:pPr>
              <w:widowControl/>
              <w:spacing w:line="360" w:lineRule="atLeast"/>
              <w:contextualSpacing/>
              <w:jc w:val="center"/>
              <w:rPr>
                <w:color w:val="000000"/>
                <w:kern w:val="0"/>
                <w:sz w:val="24"/>
              </w:rPr>
            </w:pPr>
          </w:p>
        </w:tc>
        <w:tc>
          <w:tcPr>
            <w:tcW w:w="1859" w:type="pct"/>
            <w:vAlign w:val="center"/>
          </w:tcPr>
          <w:p w:rsidR="00C72DBD" w:rsidRDefault="00FC0A09">
            <w:pPr>
              <w:widowControl/>
              <w:spacing w:line="360" w:lineRule="atLeast"/>
              <w:contextualSpacing/>
              <w:jc w:val="left"/>
              <w:rPr>
                <w:color w:val="000000"/>
                <w:kern w:val="0"/>
                <w:sz w:val="24"/>
                <w:highlight w:val="yellow"/>
              </w:rPr>
            </w:pPr>
            <w:r>
              <w:rPr>
                <w:color w:val="000000"/>
                <w:kern w:val="0"/>
                <w:sz w:val="24"/>
              </w:rPr>
              <w:t>适用性技术</w:t>
            </w:r>
          </w:p>
        </w:tc>
        <w:tc>
          <w:tcPr>
            <w:tcW w:w="625" w:type="pct"/>
            <w:vAlign w:val="center"/>
          </w:tcPr>
          <w:p w:rsidR="00C72DBD" w:rsidRDefault="00FC0A09">
            <w:pPr>
              <w:widowControl/>
              <w:spacing w:line="360" w:lineRule="atLeast"/>
              <w:contextualSpacing/>
              <w:jc w:val="center"/>
              <w:rPr>
                <w:color w:val="000000"/>
                <w:kern w:val="0"/>
                <w:sz w:val="24"/>
              </w:rPr>
            </w:pPr>
            <w:r>
              <w:rPr>
                <w:color w:val="000000"/>
                <w:kern w:val="0"/>
                <w:sz w:val="24"/>
              </w:rPr>
              <w:t>—</w:t>
            </w:r>
          </w:p>
        </w:tc>
        <w:tc>
          <w:tcPr>
            <w:tcW w:w="722" w:type="pct"/>
            <w:vAlign w:val="center"/>
          </w:tcPr>
          <w:p w:rsidR="00C72DBD" w:rsidRDefault="00FC0A09">
            <w:pPr>
              <w:widowControl/>
              <w:spacing w:line="360" w:lineRule="atLeast"/>
              <w:contextualSpacing/>
              <w:jc w:val="center"/>
              <w:rPr>
                <w:color w:val="000000"/>
                <w:kern w:val="0"/>
                <w:sz w:val="24"/>
              </w:rPr>
            </w:pPr>
            <w:r>
              <w:rPr>
                <w:color w:val="000000"/>
                <w:kern w:val="0"/>
                <w:sz w:val="24"/>
              </w:rPr>
              <w:t>满足</w:t>
            </w:r>
            <w:r>
              <w:rPr>
                <w:color w:val="000000"/>
                <w:kern w:val="0"/>
                <w:sz w:val="24"/>
              </w:rPr>
              <w:t>b</w:t>
            </w:r>
            <w:r>
              <w:rPr>
                <w:color w:val="000000"/>
                <w:kern w:val="0"/>
                <w:sz w:val="24"/>
              </w:rPr>
              <w:t>、</w:t>
            </w:r>
            <w:r>
              <w:rPr>
                <w:color w:val="000000"/>
                <w:kern w:val="0"/>
                <w:sz w:val="24"/>
              </w:rPr>
              <w:t>d</w:t>
            </w:r>
            <w:r>
              <w:rPr>
                <w:color w:val="000000"/>
                <w:kern w:val="0"/>
                <w:sz w:val="24"/>
              </w:rPr>
              <w:t>、</w:t>
            </w:r>
            <w:r>
              <w:rPr>
                <w:color w:val="000000"/>
                <w:kern w:val="0"/>
                <w:sz w:val="24"/>
              </w:rPr>
              <w:t>f</w:t>
            </w:r>
            <w:r>
              <w:rPr>
                <w:color w:val="000000"/>
                <w:kern w:val="0"/>
                <w:sz w:val="24"/>
              </w:rPr>
              <w:t>、</w:t>
            </w:r>
            <w:r>
              <w:rPr>
                <w:color w:val="000000"/>
                <w:kern w:val="0"/>
                <w:sz w:val="24"/>
              </w:rPr>
              <w:t>g</w:t>
            </w:r>
            <w:r>
              <w:rPr>
                <w:color w:val="000000"/>
                <w:kern w:val="0"/>
                <w:sz w:val="24"/>
              </w:rPr>
              <w:t>、</w:t>
            </w:r>
            <w:r>
              <w:rPr>
                <w:color w:val="000000"/>
                <w:kern w:val="0"/>
                <w:sz w:val="24"/>
              </w:rPr>
              <w:t>i</w:t>
            </w:r>
            <w:r>
              <w:rPr>
                <w:color w:val="000000"/>
                <w:kern w:val="0"/>
                <w:sz w:val="24"/>
              </w:rPr>
              <w:t>、</w:t>
            </w:r>
            <w:r>
              <w:rPr>
                <w:color w:val="000000"/>
                <w:kern w:val="0"/>
                <w:sz w:val="24"/>
              </w:rPr>
              <w:t>k</w:t>
            </w:r>
          </w:p>
        </w:tc>
        <w:tc>
          <w:tcPr>
            <w:tcW w:w="562" w:type="pct"/>
            <w:vAlign w:val="center"/>
          </w:tcPr>
          <w:p w:rsidR="00C72DBD" w:rsidRDefault="00FC0A09">
            <w:pPr>
              <w:widowControl/>
              <w:spacing w:line="360" w:lineRule="atLeast"/>
              <w:contextualSpacing/>
              <w:jc w:val="center"/>
              <w:rPr>
                <w:color w:val="000000"/>
                <w:kern w:val="0"/>
                <w:sz w:val="24"/>
              </w:rPr>
            </w:pPr>
            <w:r>
              <w:rPr>
                <w:color w:val="000000"/>
                <w:kern w:val="0"/>
                <w:sz w:val="24"/>
              </w:rPr>
              <w:t>4</w:t>
            </w:r>
          </w:p>
        </w:tc>
      </w:tr>
      <w:tr w:rsidR="00C72DBD">
        <w:trPr>
          <w:trHeight w:val="454"/>
          <w:jc w:val="center"/>
        </w:trPr>
        <w:tc>
          <w:tcPr>
            <w:tcW w:w="450" w:type="pct"/>
            <w:vAlign w:val="center"/>
          </w:tcPr>
          <w:p w:rsidR="00C72DBD" w:rsidRDefault="00FC0A09">
            <w:pPr>
              <w:widowControl/>
              <w:spacing w:line="360" w:lineRule="atLeast"/>
              <w:contextualSpacing/>
              <w:jc w:val="center"/>
              <w:rPr>
                <w:color w:val="000000"/>
                <w:kern w:val="0"/>
                <w:sz w:val="24"/>
              </w:rPr>
            </w:pPr>
            <w:r>
              <w:rPr>
                <w:color w:val="000000"/>
                <w:kern w:val="0"/>
                <w:sz w:val="24"/>
              </w:rPr>
              <w:t>3</w:t>
            </w:r>
          </w:p>
        </w:tc>
        <w:tc>
          <w:tcPr>
            <w:tcW w:w="778" w:type="pct"/>
            <w:gridSpan w:val="2"/>
            <w:vMerge/>
            <w:vAlign w:val="center"/>
          </w:tcPr>
          <w:p w:rsidR="00C72DBD" w:rsidRDefault="00C72DBD">
            <w:pPr>
              <w:widowControl/>
              <w:spacing w:line="360" w:lineRule="atLeast"/>
              <w:contextualSpacing/>
              <w:jc w:val="center"/>
              <w:rPr>
                <w:color w:val="000000"/>
                <w:kern w:val="0"/>
                <w:sz w:val="24"/>
              </w:rPr>
            </w:pPr>
          </w:p>
        </w:tc>
        <w:tc>
          <w:tcPr>
            <w:tcW w:w="1859" w:type="pct"/>
            <w:vAlign w:val="center"/>
          </w:tcPr>
          <w:p w:rsidR="00C72DBD" w:rsidRDefault="00FC0A09">
            <w:pPr>
              <w:widowControl/>
              <w:spacing w:line="360" w:lineRule="atLeast"/>
              <w:contextualSpacing/>
              <w:jc w:val="left"/>
              <w:rPr>
                <w:color w:val="000000"/>
                <w:kern w:val="0"/>
                <w:sz w:val="24"/>
                <w:highlight w:val="yellow"/>
              </w:rPr>
            </w:pPr>
            <w:r>
              <w:rPr>
                <w:color w:val="000000"/>
                <w:kern w:val="0"/>
                <w:sz w:val="24"/>
              </w:rPr>
              <w:t>前沿技术</w:t>
            </w:r>
          </w:p>
        </w:tc>
        <w:tc>
          <w:tcPr>
            <w:tcW w:w="625" w:type="pct"/>
            <w:vAlign w:val="center"/>
          </w:tcPr>
          <w:p w:rsidR="00C72DBD" w:rsidRDefault="00FC0A09">
            <w:pPr>
              <w:widowControl/>
              <w:spacing w:line="360" w:lineRule="atLeast"/>
              <w:contextualSpacing/>
              <w:jc w:val="center"/>
              <w:rPr>
                <w:color w:val="000000"/>
                <w:kern w:val="0"/>
                <w:sz w:val="24"/>
              </w:rPr>
            </w:pPr>
            <w:r>
              <w:rPr>
                <w:color w:val="000000"/>
                <w:kern w:val="0"/>
                <w:sz w:val="24"/>
              </w:rPr>
              <w:t>—</w:t>
            </w:r>
          </w:p>
        </w:tc>
        <w:tc>
          <w:tcPr>
            <w:tcW w:w="722" w:type="pct"/>
            <w:vAlign w:val="center"/>
          </w:tcPr>
          <w:p w:rsidR="00C72DBD" w:rsidRDefault="00FC0A09">
            <w:pPr>
              <w:widowControl/>
              <w:spacing w:line="360" w:lineRule="atLeast"/>
              <w:contextualSpacing/>
              <w:jc w:val="center"/>
              <w:rPr>
                <w:color w:val="000000"/>
                <w:kern w:val="0"/>
                <w:sz w:val="24"/>
              </w:rPr>
            </w:pPr>
            <w:r>
              <w:rPr>
                <w:rFonts w:hint="eastAsia"/>
                <w:color w:val="000000"/>
                <w:kern w:val="0"/>
                <w:sz w:val="24"/>
              </w:rPr>
              <w:t>焦炉煤气精脱硫</w:t>
            </w:r>
          </w:p>
        </w:tc>
        <w:tc>
          <w:tcPr>
            <w:tcW w:w="562" w:type="pct"/>
            <w:vAlign w:val="center"/>
          </w:tcPr>
          <w:p w:rsidR="00C72DBD" w:rsidRDefault="00FC0A09">
            <w:pPr>
              <w:widowControl/>
              <w:spacing w:line="360" w:lineRule="atLeast"/>
              <w:contextualSpacing/>
              <w:jc w:val="center"/>
              <w:rPr>
                <w:color w:val="000000"/>
                <w:kern w:val="0"/>
                <w:sz w:val="24"/>
              </w:rPr>
            </w:pPr>
            <w:r>
              <w:rPr>
                <w:rFonts w:hint="eastAsia"/>
                <w:color w:val="000000"/>
                <w:kern w:val="0"/>
                <w:sz w:val="24"/>
              </w:rPr>
              <w:t>1</w:t>
            </w:r>
          </w:p>
        </w:tc>
      </w:tr>
      <w:tr w:rsidR="00C72DBD">
        <w:trPr>
          <w:trHeight w:val="454"/>
          <w:jc w:val="center"/>
        </w:trPr>
        <w:tc>
          <w:tcPr>
            <w:tcW w:w="450" w:type="pct"/>
            <w:vAlign w:val="center"/>
          </w:tcPr>
          <w:p w:rsidR="00C72DBD" w:rsidRDefault="00FC0A09">
            <w:pPr>
              <w:widowControl/>
              <w:spacing w:line="360" w:lineRule="atLeast"/>
              <w:contextualSpacing/>
              <w:jc w:val="center"/>
              <w:rPr>
                <w:color w:val="000000"/>
                <w:kern w:val="0"/>
                <w:sz w:val="24"/>
              </w:rPr>
            </w:pPr>
            <w:r>
              <w:rPr>
                <w:color w:val="000000"/>
                <w:kern w:val="0"/>
                <w:sz w:val="24"/>
              </w:rPr>
              <w:t>4</w:t>
            </w:r>
          </w:p>
        </w:tc>
        <w:tc>
          <w:tcPr>
            <w:tcW w:w="778" w:type="pct"/>
            <w:gridSpan w:val="2"/>
            <w:vMerge w:val="restart"/>
            <w:vAlign w:val="center"/>
          </w:tcPr>
          <w:p w:rsidR="00C72DBD" w:rsidRDefault="00FC0A09">
            <w:pPr>
              <w:jc w:val="center"/>
              <w:rPr>
                <w:kern w:val="0"/>
                <w:sz w:val="24"/>
              </w:rPr>
            </w:pPr>
            <w:r>
              <w:rPr>
                <w:kern w:val="0"/>
                <w:sz w:val="24"/>
              </w:rPr>
              <w:t>资源利用</w:t>
            </w:r>
          </w:p>
        </w:tc>
        <w:tc>
          <w:tcPr>
            <w:tcW w:w="1859" w:type="pct"/>
            <w:vAlign w:val="center"/>
          </w:tcPr>
          <w:p w:rsidR="00C72DBD" w:rsidRDefault="00FC0A09">
            <w:pPr>
              <w:widowControl/>
              <w:spacing w:line="360" w:lineRule="atLeast"/>
              <w:contextualSpacing/>
              <w:jc w:val="left"/>
              <w:rPr>
                <w:color w:val="000000"/>
                <w:kern w:val="0"/>
                <w:sz w:val="24"/>
              </w:rPr>
            </w:pPr>
            <w:r>
              <w:rPr>
                <w:color w:val="000000"/>
                <w:kern w:val="0"/>
                <w:sz w:val="24"/>
              </w:rPr>
              <w:t>高炉入炉矿品位</w:t>
            </w:r>
          </w:p>
        </w:tc>
        <w:tc>
          <w:tcPr>
            <w:tcW w:w="625" w:type="pct"/>
            <w:vAlign w:val="center"/>
          </w:tcPr>
          <w:p w:rsidR="00C72DBD" w:rsidRDefault="00FC0A09">
            <w:pPr>
              <w:widowControl/>
              <w:spacing w:line="360" w:lineRule="atLeast"/>
              <w:contextualSpacing/>
              <w:jc w:val="center"/>
              <w:rPr>
                <w:color w:val="000000"/>
                <w:kern w:val="0"/>
                <w:sz w:val="24"/>
              </w:rPr>
            </w:pPr>
            <w:r>
              <w:rPr>
                <w:color w:val="000000"/>
                <w:kern w:val="0"/>
                <w:sz w:val="24"/>
              </w:rPr>
              <w:t>%</w:t>
            </w:r>
          </w:p>
        </w:tc>
        <w:tc>
          <w:tcPr>
            <w:tcW w:w="722" w:type="pct"/>
            <w:vAlign w:val="center"/>
          </w:tcPr>
          <w:p w:rsidR="00C72DBD" w:rsidRDefault="00FC0A09">
            <w:pPr>
              <w:widowControl/>
              <w:spacing w:line="360" w:lineRule="atLeast"/>
              <w:contextualSpacing/>
              <w:jc w:val="center"/>
              <w:rPr>
                <w:color w:val="000000"/>
                <w:kern w:val="0"/>
                <w:sz w:val="24"/>
              </w:rPr>
            </w:pPr>
            <w:r>
              <w:rPr>
                <w:color w:val="000000"/>
                <w:kern w:val="0"/>
                <w:sz w:val="24"/>
              </w:rPr>
              <w:t>55.56</w:t>
            </w:r>
          </w:p>
        </w:tc>
        <w:tc>
          <w:tcPr>
            <w:tcW w:w="562" w:type="pct"/>
            <w:vAlign w:val="center"/>
          </w:tcPr>
          <w:p w:rsidR="00C72DBD" w:rsidRDefault="00FC0A09">
            <w:pPr>
              <w:widowControl/>
              <w:spacing w:line="360" w:lineRule="atLeast"/>
              <w:contextualSpacing/>
              <w:jc w:val="center"/>
              <w:rPr>
                <w:color w:val="000000"/>
                <w:kern w:val="0"/>
                <w:sz w:val="24"/>
              </w:rPr>
            </w:pPr>
            <w:r>
              <w:rPr>
                <w:color w:val="000000"/>
                <w:kern w:val="0"/>
                <w:sz w:val="24"/>
              </w:rPr>
              <w:t>0</w:t>
            </w:r>
          </w:p>
        </w:tc>
      </w:tr>
      <w:tr w:rsidR="00C72DBD">
        <w:trPr>
          <w:trHeight w:val="454"/>
          <w:jc w:val="center"/>
        </w:trPr>
        <w:tc>
          <w:tcPr>
            <w:tcW w:w="450" w:type="pct"/>
            <w:vAlign w:val="center"/>
          </w:tcPr>
          <w:p w:rsidR="00C72DBD" w:rsidRDefault="00FC0A09">
            <w:pPr>
              <w:widowControl/>
              <w:spacing w:line="360" w:lineRule="atLeast"/>
              <w:contextualSpacing/>
              <w:jc w:val="center"/>
              <w:rPr>
                <w:color w:val="000000"/>
                <w:kern w:val="0"/>
                <w:sz w:val="24"/>
              </w:rPr>
            </w:pPr>
            <w:r>
              <w:rPr>
                <w:color w:val="000000"/>
                <w:kern w:val="0"/>
                <w:sz w:val="24"/>
              </w:rPr>
              <w:t>5</w:t>
            </w:r>
          </w:p>
        </w:tc>
        <w:tc>
          <w:tcPr>
            <w:tcW w:w="778" w:type="pct"/>
            <w:gridSpan w:val="2"/>
            <w:vMerge/>
            <w:vAlign w:val="center"/>
          </w:tcPr>
          <w:p w:rsidR="00C72DBD" w:rsidRDefault="00C72DBD">
            <w:pPr>
              <w:widowControl/>
              <w:spacing w:line="360" w:lineRule="atLeast"/>
              <w:contextualSpacing/>
              <w:jc w:val="center"/>
              <w:rPr>
                <w:color w:val="000000"/>
                <w:kern w:val="0"/>
                <w:sz w:val="24"/>
              </w:rPr>
            </w:pPr>
          </w:p>
        </w:tc>
        <w:tc>
          <w:tcPr>
            <w:tcW w:w="1859" w:type="pct"/>
            <w:vAlign w:val="center"/>
          </w:tcPr>
          <w:p w:rsidR="00C72DBD" w:rsidRDefault="00FC0A09">
            <w:pPr>
              <w:widowControl/>
              <w:spacing w:line="360" w:lineRule="atLeast"/>
              <w:contextualSpacing/>
              <w:jc w:val="left"/>
              <w:rPr>
                <w:color w:val="000000"/>
                <w:kern w:val="0"/>
                <w:sz w:val="24"/>
              </w:rPr>
            </w:pPr>
            <w:r>
              <w:rPr>
                <w:color w:val="000000"/>
                <w:kern w:val="0"/>
                <w:sz w:val="24"/>
              </w:rPr>
              <w:t>吨钢钢铁料消耗量</w:t>
            </w:r>
          </w:p>
        </w:tc>
        <w:tc>
          <w:tcPr>
            <w:tcW w:w="625" w:type="pct"/>
            <w:vAlign w:val="center"/>
          </w:tcPr>
          <w:p w:rsidR="00C72DBD" w:rsidRDefault="00FC0A09">
            <w:pPr>
              <w:widowControl/>
              <w:spacing w:line="360" w:lineRule="atLeast"/>
              <w:contextualSpacing/>
              <w:jc w:val="center"/>
              <w:rPr>
                <w:color w:val="000000"/>
                <w:kern w:val="0"/>
                <w:sz w:val="24"/>
              </w:rPr>
            </w:pPr>
            <w:r>
              <w:rPr>
                <w:color w:val="000000"/>
                <w:kern w:val="0"/>
                <w:sz w:val="24"/>
              </w:rPr>
              <w:t>kg/t</w:t>
            </w:r>
          </w:p>
        </w:tc>
        <w:tc>
          <w:tcPr>
            <w:tcW w:w="722" w:type="pct"/>
            <w:vAlign w:val="center"/>
          </w:tcPr>
          <w:p w:rsidR="00C72DBD" w:rsidRDefault="00FC0A09">
            <w:pPr>
              <w:widowControl/>
              <w:spacing w:line="360" w:lineRule="atLeast"/>
              <w:contextualSpacing/>
              <w:jc w:val="center"/>
              <w:rPr>
                <w:color w:val="000000"/>
                <w:kern w:val="0"/>
                <w:sz w:val="24"/>
              </w:rPr>
            </w:pPr>
            <w:r>
              <w:rPr>
                <w:color w:val="000000"/>
                <w:kern w:val="0"/>
                <w:sz w:val="24"/>
              </w:rPr>
              <w:t>1041.34</w:t>
            </w:r>
          </w:p>
        </w:tc>
        <w:tc>
          <w:tcPr>
            <w:tcW w:w="562" w:type="pct"/>
            <w:vAlign w:val="center"/>
          </w:tcPr>
          <w:p w:rsidR="00C72DBD" w:rsidRDefault="00FC0A09">
            <w:pPr>
              <w:widowControl/>
              <w:spacing w:line="360" w:lineRule="atLeast"/>
              <w:contextualSpacing/>
              <w:jc w:val="center"/>
              <w:rPr>
                <w:color w:val="000000"/>
                <w:kern w:val="0"/>
                <w:sz w:val="24"/>
              </w:rPr>
            </w:pPr>
            <w:r>
              <w:rPr>
                <w:color w:val="000000"/>
                <w:kern w:val="0"/>
                <w:sz w:val="24"/>
              </w:rPr>
              <w:t>2</w:t>
            </w:r>
          </w:p>
        </w:tc>
      </w:tr>
      <w:tr w:rsidR="00C72DBD">
        <w:trPr>
          <w:trHeight w:val="454"/>
          <w:jc w:val="center"/>
        </w:trPr>
        <w:tc>
          <w:tcPr>
            <w:tcW w:w="450" w:type="pct"/>
            <w:vAlign w:val="center"/>
          </w:tcPr>
          <w:p w:rsidR="00C72DBD" w:rsidRDefault="00FC0A09">
            <w:pPr>
              <w:widowControl/>
              <w:spacing w:line="360" w:lineRule="atLeast"/>
              <w:contextualSpacing/>
              <w:jc w:val="center"/>
              <w:rPr>
                <w:color w:val="000000"/>
                <w:kern w:val="0"/>
                <w:sz w:val="24"/>
              </w:rPr>
            </w:pPr>
            <w:r>
              <w:rPr>
                <w:color w:val="000000"/>
                <w:kern w:val="0"/>
                <w:sz w:val="24"/>
              </w:rPr>
              <w:t>6</w:t>
            </w:r>
          </w:p>
        </w:tc>
        <w:tc>
          <w:tcPr>
            <w:tcW w:w="778" w:type="pct"/>
            <w:gridSpan w:val="2"/>
            <w:vMerge/>
            <w:vAlign w:val="center"/>
          </w:tcPr>
          <w:p w:rsidR="00C72DBD" w:rsidRDefault="00C72DBD">
            <w:pPr>
              <w:widowControl/>
              <w:spacing w:line="360" w:lineRule="atLeast"/>
              <w:contextualSpacing/>
              <w:jc w:val="center"/>
              <w:rPr>
                <w:color w:val="000000"/>
                <w:kern w:val="0"/>
                <w:sz w:val="24"/>
              </w:rPr>
            </w:pPr>
          </w:p>
        </w:tc>
        <w:tc>
          <w:tcPr>
            <w:tcW w:w="1859" w:type="pct"/>
            <w:vAlign w:val="center"/>
          </w:tcPr>
          <w:p w:rsidR="00C72DBD" w:rsidRDefault="00FC0A09">
            <w:pPr>
              <w:widowControl/>
              <w:spacing w:line="360" w:lineRule="atLeast"/>
              <w:contextualSpacing/>
              <w:jc w:val="left"/>
              <w:rPr>
                <w:kern w:val="0"/>
                <w:sz w:val="24"/>
              </w:rPr>
            </w:pPr>
            <w:r>
              <w:rPr>
                <w:kern w:val="0"/>
                <w:sz w:val="24"/>
              </w:rPr>
              <w:t>吨钢废钢消耗量</w:t>
            </w:r>
          </w:p>
        </w:tc>
        <w:tc>
          <w:tcPr>
            <w:tcW w:w="625" w:type="pct"/>
            <w:vAlign w:val="center"/>
          </w:tcPr>
          <w:p w:rsidR="00C72DBD" w:rsidRDefault="00FC0A09">
            <w:pPr>
              <w:widowControl/>
              <w:spacing w:line="360" w:lineRule="atLeast"/>
              <w:contextualSpacing/>
              <w:jc w:val="center"/>
              <w:rPr>
                <w:kern w:val="0"/>
                <w:sz w:val="24"/>
              </w:rPr>
            </w:pPr>
            <w:r>
              <w:rPr>
                <w:kern w:val="0"/>
                <w:sz w:val="24"/>
              </w:rPr>
              <w:t>kg/t</w:t>
            </w:r>
          </w:p>
        </w:tc>
        <w:tc>
          <w:tcPr>
            <w:tcW w:w="722" w:type="pct"/>
            <w:vAlign w:val="center"/>
          </w:tcPr>
          <w:p w:rsidR="00C72DBD" w:rsidRDefault="00FC0A09">
            <w:pPr>
              <w:widowControl/>
              <w:spacing w:line="360" w:lineRule="atLeast"/>
              <w:contextualSpacing/>
              <w:jc w:val="center"/>
              <w:rPr>
                <w:kern w:val="0"/>
                <w:sz w:val="24"/>
              </w:rPr>
            </w:pPr>
            <w:r>
              <w:rPr>
                <w:rFonts w:hint="eastAsia"/>
                <w:kern w:val="0"/>
                <w:sz w:val="24"/>
              </w:rPr>
              <w:t>89.86</w:t>
            </w:r>
          </w:p>
        </w:tc>
        <w:tc>
          <w:tcPr>
            <w:tcW w:w="562" w:type="pct"/>
            <w:vAlign w:val="center"/>
          </w:tcPr>
          <w:p w:rsidR="00C72DBD" w:rsidRDefault="00FC0A09">
            <w:pPr>
              <w:widowControl/>
              <w:spacing w:line="360" w:lineRule="atLeast"/>
              <w:contextualSpacing/>
              <w:jc w:val="center"/>
              <w:rPr>
                <w:kern w:val="0"/>
                <w:sz w:val="24"/>
              </w:rPr>
            </w:pPr>
            <w:r>
              <w:rPr>
                <w:rFonts w:hint="eastAsia"/>
                <w:kern w:val="0"/>
                <w:sz w:val="24"/>
              </w:rPr>
              <w:t>0</w:t>
            </w:r>
          </w:p>
        </w:tc>
      </w:tr>
      <w:tr w:rsidR="00C72DBD">
        <w:trPr>
          <w:trHeight w:val="454"/>
          <w:jc w:val="center"/>
        </w:trPr>
        <w:tc>
          <w:tcPr>
            <w:tcW w:w="450" w:type="pct"/>
            <w:vAlign w:val="center"/>
          </w:tcPr>
          <w:p w:rsidR="00C72DBD" w:rsidRDefault="00FC0A09">
            <w:pPr>
              <w:widowControl/>
              <w:spacing w:line="360" w:lineRule="atLeast"/>
              <w:contextualSpacing/>
              <w:jc w:val="center"/>
              <w:rPr>
                <w:color w:val="000000"/>
                <w:kern w:val="0"/>
                <w:sz w:val="24"/>
              </w:rPr>
            </w:pPr>
            <w:r>
              <w:rPr>
                <w:color w:val="000000"/>
                <w:kern w:val="0"/>
                <w:sz w:val="24"/>
              </w:rPr>
              <w:t>7</w:t>
            </w:r>
          </w:p>
        </w:tc>
        <w:tc>
          <w:tcPr>
            <w:tcW w:w="778" w:type="pct"/>
            <w:gridSpan w:val="2"/>
            <w:vMerge/>
            <w:vAlign w:val="center"/>
          </w:tcPr>
          <w:p w:rsidR="00C72DBD" w:rsidRDefault="00C72DBD">
            <w:pPr>
              <w:widowControl/>
              <w:spacing w:line="360" w:lineRule="atLeast"/>
              <w:contextualSpacing/>
              <w:jc w:val="center"/>
              <w:rPr>
                <w:color w:val="000000"/>
                <w:kern w:val="0"/>
                <w:sz w:val="24"/>
              </w:rPr>
            </w:pPr>
          </w:p>
        </w:tc>
        <w:tc>
          <w:tcPr>
            <w:tcW w:w="1859" w:type="pct"/>
            <w:vAlign w:val="center"/>
          </w:tcPr>
          <w:p w:rsidR="00C72DBD" w:rsidRDefault="00FC0A09">
            <w:pPr>
              <w:widowControl/>
              <w:spacing w:line="360" w:lineRule="atLeast"/>
              <w:contextualSpacing/>
              <w:jc w:val="left"/>
              <w:rPr>
                <w:color w:val="000000"/>
                <w:kern w:val="0"/>
                <w:sz w:val="24"/>
              </w:rPr>
            </w:pPr>
            <w:r>
              <w:rPr>
                <w:color w:val="000000"/>
                <w:kern w:val="0"/>
                <w:sz w:val="24"/>
              </w:rPr>
              <w:t>吨钢耗新水量</w:t>
            </w:r>
          </w:p>
        </w:tc>
        <w:tc>
          <w:tcPr>
            <w:tcW w:w="625" w:type="pct"/>
            <w:vAlign w:val="center"/>
          </w:tcPr>
          <w:p w:rsidR="00C72DBD" w:rsidRDefault="00FC0A09">
            <w:pPr>
              <w:widowControl/>
              <w:spacing w:line="360" w:lineRule="atLeast"/>
              <w:contextualSpacing/>
              <w:jc w:val="center"/>
              <w:rPr>
                <w:color w:val="000000"/>
                <w:kern w:val="0"/>
                <w:sz w:val="24"/>
              </w:rPr>
            </w:pPr>
            <w:r>
              <w:rPr>
                <w:color w:val="000000"/>
                <w:kern w:val="0"/>
                <w:sz w:val="24"/>
              </w:rPr>
              <w:t>m</w:t>
            </w:r>
            <w:r>
              <w:rPr>
                <w:color w:val="000000"/>
                <w:kern w:val="0"/>
                <w:sz w:val="24"/>
                <w:vertAlign w:val="superscript"/>
              </w:rPr>
              <w:t>3</w:t>
            </w:r>
            <w:r>
              <w:rPr>
                <w:color w:val="000000"/>
                <w:kern w:val="0"/>
                <w:sz w:val="24"/>
              </w:rPr>
              <w:t>/t</w:t>
            </w:r>
          </w:p>
        </w:tc>
        <w:tc>
          <w:tcPr>
            <w:tcW w:w="722" w:type="pct"/>
            <w:vAlign w:val="center"/>
          </w:tcPr>
          <w:p w:rsidR="00C72DBD" w:rsidRDefault="00FC0A09">
            <w:pPr>
              <w:widowControl/>
              <w:spacing w:line="360" w:lineRule="atLeast"/>
              <w:contextualSpacing/>
              <w:jc w:val="center"/>
              <w:rPr>
                <w:color w:val="000000"/>
                <w:kern w:val="0"/>
                <w:sz w:val="24"/>
              </w:rPr>
            </w:pPr>
            <w:r>
              <w:rPr>
                <w:color w:val="000000"/>
                <w:kern w:val="0"/>
                <w:sz w:val="24"/>
              </w:rPr>
              <w:t>1.61</w:t>
            </w:r>
          </w:p>
        </w:tc>
        <w:tc>
          <w:tcPr>
            <w:tcW w:w="562" w:type="pct"/>
            <w:vAlign w:val="center"/>
          </w:tcPr>
          <w:p w:rsidR="00C72DBD" w:rsidRDefault="00FC0A09">
            <w:pPr>
              <w:widowControl/>
              <w:spacing w:line="360" w:lineRule="atLeast"/>
              <w:contextualSpacing/>
              <w:jc w:val="center"/>
              <w:rPr>
                <w:color w:val="000000"/>
                <w:kern w:val="0"/>
                <w:sz w:val="24"/>
              </w:rPr>
            </w:pPr>
            <w:r>
              <w:rPr>
                <w:color w:val="000000"/>
                <w:kern w:val="0"/>
                <w:sz w:val="24"/>
              </w:rPr>
              <w:t>2</w:t>
            </w:r>
          </w:p>
        </w:tc>
      </w:tr>
      <w:tr w:rsidR="00C72DBD">
        <w:trPr>
          <w:trHeight w:val="454"/>
          <w:jc w:val="center"/>
        </w:trPr>
        <w:tc>
          <w:tcPr>
            <w:tcW w:w="450" w:type="pct"/>
            <w:vAlign w:val="center"/>
          </w:tcPr>
          <w:p w:rsidR="00C72DBD" w:rsidRDefault="00FC0A09">
            <w:pPr>
              <w:widowControl/>
              <w:spacing w:line="360" w:lineRule="atLeast"/>
              <w:contextualSpacing/>
              <w:jc w:val="center"/>
              <w:rPr>
                <w:color w:val="000000"/>
                <w:kern w:val="0"/>
                <w:sz w:val="24"/>
              </w:rPr>
            </w:pPr>
            <w:r>
              <w:rPr>
                <w:color w:val="000000"/>
                <w:kern w:val="0"/>
                <w:sz w:val="24"/>
              </w:rPr>
              <w:t>8</w:t>
            </w:r>
          </w:p>
        </w:tc>
        <w:tc>
          <w:tcPr>
            <w:tcW w:w="778" w:type="pct"/>
            <w:gridSpan w:val="2"/>
            <w:vMerge/>
            <w:vAlign w:val="center"/>
          </w:tcPr>
          <w:p w:rsidR="00C72DBD" w:rsidRDefault="00C72DBD">
            <w:pPr>
              <w:widowControl/>
              <w:spacing w:line="360" w:lineRule="atLeast"/>
              <w:contextualSpacing/>
              <w:jc w:val="center"/>
              <w:rPr>
                <w:color w:val="000000"/>
                <w:kern w:val="0"/>
                <w:sz w:val="24"/>
              </w:rPr>
            </w:pPr>
          </w:p>
        </w:tc>
        <w:tc>
          <w:tcPr>
            <w:tcW w:w="1859" w:type="pct"/>
            <w:vAlign w:val="center"/>
          </w:tcPr>
          <w:p w:rsidR="00C72DBD" w:rsidRDefault="00FC0A09">
            <w:pPr>
              <w:widowControl/>
              <w:spacing w:line="360" w:lineRule="atLeast"/>
              <w:contextualSpacing/>
              <w:jc w:val="left"/>
              <w:rPr>
                <w:color w:val="000000"/>
                <w:kern w:val="0"/>
                <w:sz w:val="24"/>
              </w:rPr>
            </w:pPr>
            <w:r>
              <w:rPr>
                <w:color w:val="000000"/>
                <w:kern w:val="0"/>
                <w:sz w:val="24"/>
              </w:rPr>
              <w:t>钢材综合成材率</w:t>
            </w:r>
          </w:p>
        </w:tc>
        <w:tc>
          <w:tcPr>
            <w:tcW w:w="625" w:type="pct"/>
            <w:vAlign w:val="center"/>
          </w:tcPr>
          <w:p w:rsidR="00C72DBD" w:rsidRDefault="00FC0A09">
            <w:pPr>
              <w:widowControl/>
              <w:spacing w:line="360" w:lineRule="atLeast"/>
              <w:contextualSpacing/>
              <w:jc w:val="center"/>
              <w:rPr>
                <w:kern w:val="0"/>
                <w:sz w:val="24"/>
              </w:rPr>
            </w:pPr>
            <w:r>
              <w:rPr>
                <w:kern w:val="0"/>
                <w:sz w:val="24"/>
              </w:rPr>
              <w:t>%</w:t>
            </w:r>
          </w:p>
        </w:tc>
        <w:tc>
          <w:tcPr>
            <w:tcW w:w="722" w:type="pct"/>
            <w:vAlign w:val="center"/>
          </w:tcPr>
          <w:p w:rsidR="00C72DBD" w:rsidRDefault="00FC0A09">
            <w:pPr>
              <w:widowControl/>
              <w:spacing w:line="360" w:lineRule="atLeast"/>
              <w:contextualSpacing/>
              <w:jc w:val="center"/>
              <w:rPr>
                <w:kern w:val="0"/>
                <w:sz w:val="24"/>
              </w:rPr>
            </w:pPr>
            <w:r>
              <w:rPr>
                <w:bCs/>
                <w:kern w:val="24"/>
                <w:sz w:val="24"/>
              </w:rPr>
              <w:t>99.81</w:t>
            </w:r>
          </w:p>
        </w:tc>
        <w:tc>
          <w:tcPr>
            <w:tcW w:w="562" w:type="pct"/>
            <w:vAlign w:val="center"/>
          </w:tcPr>
          <w:p w:rsidR="00C72DBD" w:rsidRDefault="00FC0A09">
            <w:pPr>
              <w:widowControl/>
              <w:spacing w:line="360" w:lineRule="atLeast"/>
              <w:contextualSpacing/>
              <w:jc w:val="center"/>
              <w:rPr>
                <w:kern w:val="0"/>
                <w:sz w:val="24"/>
              </w:rPr>
            </w:pPr>
            <w:r>
              <w:rPr>
                <w:kern w:val="0"/>
                <w:sz w:val="24"/>
              </w:rPr>
              <w:t>1</w:t>
            </w:r>
          </w:p>
        </w:tc>
      </w:tr>
      <w:tr w:rsidR="00C72DBD">
        <w:trPr>
          <w:trHeight w:val="454"/>
          <w:jc w:val="center"/>
        </w:trPr>
        <w:tc>
          <w:tcPr>
            <w:tcW w:w="450" w:type="pct"/>
            <w:vAlign w:val="center"/>
          </w:tcPr>
          <w:p w:rsidR="00C72DBD" w:rsidRDefault="00FC0A09">
            <w:pPr>
              <w:widowControl/>
              <w:spacing w:line="360" w:lineRule="atLeast"/>
              <w:contextualSpacing/>
              <w:jc w:val="center"/>
              <w:rPr>
                <w:color w:val="000000"/>
                <w:kern w:val="0"/>
                <w:sz w:val="24"/>
              </w:rPr>
            </w:pPr>
            <w:r>
              <w:rPr>
                <w:color w:val="000000"/>
                <w:kern w:val="0"/>
                <w:sz w:val="24"/>
              </w:rPr>
              <w:t>9</w:t>
            </w:r>
          </w:p>
        </w:tc>
        <w:tc>
          <w:tcPr>
            <w:tcW w:w="778" w:type="pct"/>
            <w:gridSpan w:val="2"/>
            <w:vMerge w:val="restart"/>
            <w:vAlign w:val="center"/>
          </w:tcPr>
          <w:p w:rsidR="00C72DBD" w:rsidRDefault="00FC0A09">
            <w:pPr>
              <w:widowControl/>
              <w:spacing w:line="360" w:lineRule="atLeast"/>
              <w:contextualSpacing/>
              <w:jc w:val="center"/>
              <w:rPr>
                <w:color w:val="000000"/>
                <w:kern w:val="0"/>
                <w:sz w:val="24"/>
              </w:rPr>
            </w:pPr>
            <w:r>
              <w:rPr>
                <w:color w:val="000000"/>
                <w:kern w:val="0"/>
                <w:sz w:val="24"/>
              </w:rPr>
              <w:t>能源效率</w:t>
            </w:r>
          </w:p>
        </w:tc>
        <w:tc>
          <w:tcPr>
            <w:tcW w:w="1859" w:type="pct"/>
            <w:vAlign w:val="center"/>
          </w:tcPr>
          <w:p w:rsidR="00C72DBD" w:rsidRDefault="00FC0A09">
            <w:pPr>
              <w:widowControl/>
              <w:spacing w:line="360" w:lineRule="atLeast"/>
              <w:contextualSpacing/>
              <w:jc w:val="left"/>
              <w:rPr>
                <w:kern w:val="0"/>
                <w:sz w:val="24"/>
              </w:rPr>
            </w:pPr>
            <w:r>
              <w:rPr>
                <w:kern w:val="0"/>
                <w:sz w:val="24"/>
              </w:rPr>
              <w:t>高炉燃料比</w:t>
            </w:r>
          </w:p>
        </w:tc>
        <w:tc>
          <w:tcPr>
            <w:tcW w:w="625" w:type="pct"/>
            <w:vAlign w:val="center"/>
          </w:tcPr>
          <w:p w:rsidR="00C72DBD" w:rsidRDefault="00FC0A09">
            <w:pPr>
              <w:widowControl/>
              <w:spacing w:line="360" w:lineRule="atLeast"/>
              <w:contextualSpacing/>
              <w:jc w:val="center"/>
              <w:rPr>
                <w:kern w:val="0"/>
                <w:sz w:val="24"/>
              </w:rPr>
            </w:pPr>
            <w:r>
              <w:rPr>
                <w:kern w:val="0"/>
                <w:sz w:val="24"/>
              </w:rPr>
              <w:t>kg/t</w:t>
            </w:r>
          </w:p>
        </w:tc>
        <w:tc>
          <w:tcPr>
            <w:tcW w:w="722" w:type="pct"/>
            <w:vAlign w:val="center"/>
          </w:tcPr>
          <w:p w:rsidR="00C72DBD" w:rsidRDefault="00FC0A09">
            <w:pPr>
              <w:widowControl/>
              <w:spacing w:line="360" w:lineRule="atLeast"/>
              <w:contextualSpacing/>
              <w:jc w:val="center"/>
              <w:rPr>
                <w:kern w:val="0"/>
                <w:sz w:val="24"/>
              </w:rPr>
            </w:pPr>
            <w:r>
              <w:rPr>
                <w:kern w:val="0"/>
                <w:sz w:val="24"/>
              </w:rPr>
              <w:t>513.77</w:t>
            </w:r>
          </w:p>
        </w:tc>
        <w:tc>
          <w:tcPr>
            <w:tcW w:w="562" w:type="pct"/>
            <w:vAlign w:val="center"/>
          </w:tcPr>
          <w:p w:rsidR="00C72DBD" w:rsidRDefault="00FC0A09">
            <w:pPr>
              <w:widowControl/>
              <w:spacing w:line="360" w:lineRule="atLeast"/>
              <w:contextualSpacing/>
              <w:jc w:val="center"/>
              <w:rPr>
                <w:kern w:val="0"/>
                <w:sz w:val="24"/>
              </w:rPr>
            </w:pPr>
            <w:r>
              <w:rPr>
                <w:kern w:val="0"/>
                <w:sz w:val="24"/>
              </w:rPr>
              <w:t>1</w:t>
            </w:r>
          </w:p>
        </w:tc>
      </w:tr>
      <w:tr w:rsidR="00C72DBD">
        <w:trPr>
          <w:trHeight w:val="454"/>
          <w:jc w:val="center"/>
        </w:trPr>
        <w:tc>
          <w:tcPr>
            <w:tcW w:w="450" w:type="pct"/>
            <w:vAlign w:val="center"/>
          </w:tcPr>
          <w:p w:rsidR="00C72DBD" w:rsidRDefault="00FC0A09">
            <w:pPr>
              <w:widowControl/>
              <w:spacing w:line="360" w:lineRule="atLeast"/>
              <w:contextualSpacing/>
              <w:jc w:val="center"/>
              <w:rPr>
                <w:color w:val="000000"/>
                <w:kern w:val="0"/>
                <w:sz w:val="24"/>
              </w:rPr>
            </w:pPr>
            <w:r>
              <w:rPr>
                <w:color w:val="000000"/>
                <w:kern w:val="0"/>
                <w:sz w:val="24"/>
              </w:rPr>
              <w:t>10</w:t>
            </w:r>
          </w:p>
        </w:tc>
        <w:tc>
          <w:tcPr>
            <w:tcW w:w="778" w:type="pct"/>
            <w:gridSpan w:val="2"/>
            <w:vMerge/>
            <w:vAlign w:val="center"/>
          </w:tcPr>
          <w:p w:rsidR="00C72DBD" w:rsidRDefault="00C72DBD">
            <w:pPr>
              <w:widowControl/>
              <w:spacing w:line="360" w:lineRule="atLeast"/>
              <w:contextualSpacing/>
              <w:jc w:val="center"/>
              <w:rPr>
                <w:color w:val="000000"/>
                <w:kern w:val="0"/>
                <w:sz w:val="24"/>
              </w:rPr>
            </w:pPr>
          </w:p>
        </w:tc>
        <w:tc>
          <w:tcPr>
            <w:tcW w:w="1859" w:type="pct"/>
            <w:vAlign w:val="center"/>
          </w:tcPr>
          <w:p w:rsidR="00C72DBD" w:rsidRDefault="00FC0A09">
            <w:pPr>
              <w:widowControl/>
              <w:spacing w:line="360" w:lineRule="atLeast"/>
              <w:contextualSpacing/>
              <w:jc w:val="left"/>
              <w:rPr>
                <w:color w:val="000000"/>
                <w:kern w:val="0"/>
                <w:sz w:val="24"/>
              </w:rPr>
            </w:pPr>
            <w:r>
              <w:rPr>
                <w:color w:val="000000"/>
                <w:kern w:val="0"/>
                <w:sz w:val="24"/>
              </w:rPr>
              <w:t>煤炭消费总量下降率</w:t>
            </w:r>
          </w:p>
        </w:tc>
        <w:tc>
          <w:tcPr>
            <w:tcW w:w="625" w:type="pct"/>
            <w:vAlign w:val="center"/>
          </w:tcPr>
          <w:p w:rsidR="00C72DBD" w:rsidRDefault="00FC0A09">
            <w:pPr>
              <w:widowControl/>
              <w:spacing w:line="360" w:lineRule="atLeast"/>
              <w:contextualSpacing/>
              <w:jc w:val="center"/>
              <w:rPr>
                <w:color w:val="000000"/>
                <w:kern w:val="0"/>
                <w:sz w:val="24"/>
              </w:rPr>
            </w:pPr>
            <w:r>
              <w:rPr>
                <w:color w:val="000000"/>
                <w:kern w:val="0"/>
                <w:sz w:val="24"/>
              </w:rPr>
              <w:t>%</w:t>
            </w:r>
          </w:p>
        </w:tc>
        <w:tc>
          <w:tcPr>
            <w:tcW w:w="722" w:type="pct"/>
            <w:vAlign w:val="center"/>
          </w:tcPr>
          <w:p w:rsidR="00C72DBD" w:rsidRDefault="00FC0A09">
            <w:pPr>
              <w:widowControl/>
              <w:spacing w:line="360" w:lineRule="atLeast"/>
              <w:contextualSpacing/>
              <w:jc w:val="center"/>
              <w:rPr>
                <w:color w:val="000000"/>
                <w:kern w:val="0"/>
                <w:sz w:val="24"/>
              </w:rPr>
            </w:pPr>
            <w:r>
              <w:rPr>
                <w:color w:val="000000"/>
                <w:kern w:val="0"/>
                <w:sz w:val="24"/>
              </w:rPr>
              <w:t>完成压减任务</w:t>
            </w:r>
          </w:p>
        </w:tc>
        <w:tc>
          <w:tcPr>
            <w:tcW w:w="562" w:type="pct"/>
            <w:vAlign w:val="center"/>
          </w:tcPr>
          <w:p w:rsidR="00C72DBD" w:rsidRDefault="00FC0A09">
            <w:pPr>
              <w:widowControl/>
              <w:spacing w:line="360" w:lineRule="atLeast"/>
              <w:contextualSpacing/>
              <w:jc w:val="center"/>
              <w:rPr>
                <w:color w:val="000000"/>
                <w:kern w:val="0"/>
                <w:sz w:val="24"/>
              </w:rPr>
            </w:pPr>
            <w:r>
              <w:rPr>
                <w:color w:val="000000"/>
                <w:kern w:val="0"/>
                <w:sz w:val="24"/>
              </w:rPr>
              <w:t>2</w:t>
            </w:r>
          </w:p>
        </w:tc>
      </w:tr>
      <w:tr w:rsidR="00C72DBD">
        <w:trPr>
          <w:trHeight w:val="454"/>
          <w:jc w:val="center"/>
        </w:trPr>
        <w:tc>
          <w:tcPr>
            <w:tcW w:w="450" w:type="pct"/>
            <w:vAlign w:val="center"/>
          </w:tcPr>
          <w:p w:rsidR="00C72DBD" w:rsidRDefault="00FC0A09">
            <w:pPr>
              <w:widowControl/>
              <w:spacing w:line="360" w:lineRule="atLeast"/>
              <w:contextualSpacing/>
              <w:jc w:val="center"/>
              <w:rPr>
                <w:color w:val="000000"/>
                <w:kern w:val="0"/>
                <w:sz w:val="24"/>
              </w:rPr>
            </w:pPr>
            <w:r>
              <w:rPr>
                <w:color w:val="000000"/>
                <w:kern w:val="0"/>
                <w:sz w:val="24"/>
              </w:rPr>
              <w:t>11</w:t>
            </w:r>
          </w:p>
        </w:tc>
        <w:tc>
          <w:tcPr>
            <w:tcW w:w="778" w:type="pct"/>
            <w:gridSpan w:val="2"/>
            <w:vMerge/>
            <w:vAlign w:val="center"/>
          </w:tcPr>
          <w:p w:rsidR="00C72DBD" w:rsidRDefault="00C72DBD">
            <w:pPr>
              <w:widowControl/>
              <w:spacing w:line="360" w:lineRule="atLeast"/>
              <w:contextualSpacing/>
              <w:jc w:val="center"/>
              <w:rPr>
                <w:color w:val="000000"/>
                <w:kern w:val="0"/>
                <w:sz w:val="24"/>
              </w:rPr>
            </w:pPr>
          </w:p>
        </w:tc>
        <w:tc>
          <w:tcPr>
            <w:tcW w:w="1859" w:type="pct"/>
            <w:vAlign w:val="center"/>
          </w:tcPr>
          <w:p w:rsidR="00C72DBD" w:rsidRDefault="00FC0A09">
            <w:pPr>
              <w:widowControl/>
              <w:spacing w:line="360" w:lineRule="atLeast"/>
              <w:contextualSpacing/>
              <w:jc w:val="left"/>
              <w:rPr>
                <w:color w:val="000000"/>
                <w:kern w:val="0"/>
                <w:sz w:val="24"/>
              </w:rPr>
            </w:pPr>
            <w:r>
              <w:rPr>
                <w:color w:val="000000"/>
                <w:kern w:val="0"/>
                <w:sz w:val="24"/>
              </w:rPr>
              <w:t>吨钢综合能耗下降率</w:t>
            </w:r>
          </w:p>
        </w:tc>
        <w:tc>
          <w:tcPr>
            <w:tcW w:w="625" w:type="pct"/>
            <w:vAlign w:val="center"/>
          </w:tcPr>
          <w:p w:rsidR="00C72DBD" w:rsidRDefault="00FC0A09">
            <w:pPr>
              <w:widowControl/>
              <w:spacing w:line="360" w:lineRule="atLeast"/>
              <w:contextualSpacing/>
              <w:jc w:val="center"/>
              <w:rPr>
                <w:color w:val="000000"/>
                <w:kern w:val="0"/>
                <w:sz w:val="24"/>
              </w:rPr>
            </w:pPr>
            <w:r>
              <w:rPr>
                <w:color w:val="000000"/>
                <w:kern w:val="0"/>
                <w:sz w:val="24"/>
              </w:rPr>
              <w:t>%</w:t>
            </w:r>
          </w:p>
        </w:tc>
        <w:tc>
          <w:tcPr>
            <w:tcW w:w="722" w:type="pct"/>
            <w:vAlign w:val="center"/>
          </w:tcPr>
          <w:p w:rsidR="00C72DBD" w:rsidRDefault="00FC0A09">
            <w:pPr>
              <w:widowControl/>
              <w:spacing w:line="360" w:lineRule="atLeast"/>
              <w:contextualSpacing/>
              <w:jc w:val="center"/>
              <w:rPr>
                <w:color w:val="000000"/>
                <w:kern w:val="0"/>
                <w:sz w:val="24"/>
              </w:rPr>
            </w:pPr>
            <w:r>
              <w:rPr>
                <w:color w:val="000000"/>
                <w:kern w:val="0"/>
                <w:sz w:val="24"/>
              </w:rPr>
              <w:t>2.3%</w:t>
            </w:r>
          </w:p>
        </w:tc>
        <w:tc>
          <w:tcPr>
            <w:tcW w:w="562" w:type="pct"/>
            <w:vAlign w:val="center"/>
          </w:tcPr>
          <w:p w:rsidR="00C72DBD" w:rsidRDefault="00FC0A09">
            <w:pPr>
              <w:widowControl/>
              <w:spacing w:line="360" w:lineRule="atLeast"/>
              <w:contextualSpacing/>
              <w:jc w:val="center"/>
              <w:rPr>
                <w:color w:val="000000"/>
                <w:kern w:val="0"/>
                <w:sz w:val="24"/>
              </w:rPr>
            </w:pPr>
            <w:r>
              <w:rPr>
                <w:color w:val="000000"/>
                <w:kern w:val="0"/>
                <w:sz w:val="24"/>
              </w:rPr>
              <w:t>2</w:t>
            </w:r>
          </w:p>
        </w:tc>
      </w:tr>
      <w:tr w:rsidR="00C72DBD">
        <w:trPr>
          <w:trHeight w:val="454"/>
          <w:jc w:val="center"/>
        </w:trPr>
        <w:tc>
          <w:tcPr>
            <w:tcW w:w="450" w:type="pct"/>
            <w:vAlign w:val="center"/>
          </w:tcPr>
          <w:p w:rsidR="00C72DBD" w:rsidRDefault="00FC0A09">
            <w:pPr>
              <w:widowControl/>
              <w:spacing w:line="360" w:lineRule="atLeast"/>
              <w:contextualSpacing/>
              <w:jc w:val="center"/>
              <w:rPr>
                <w:color w:val="000000"/>
                <w:kern w:val="0"/>
                <w:sz w:val="24"/>
              </w:rPr>
            </w:pPr>
            <w:r>
              <w:rPr>
                <w:color w:val="000000"/>
                <w:kern w:val="0"/>
                <w:sz w:val="24"/>
              </w:rPr>
              <w:t>12</w:t>
            </w:r>
          </w:p>
        </w:tc>
        <w:tc>
          <w:tcPr>
            <w:tcW w:w="778" w:type="pct"/>
            <w:gridSpan w:val="2"/>
            <w:vMerge/>
            <w:vAlign w:val="center"/>
          </w:tcPr>
          <w:p w:rsidR="00C72DBD" w:rsidRDefault="00C72DBD">
            <w:pPr>
              <w:widowControl/>
              <w:spacing w:line="360" w:lineRule="atLeast"/>
              <w:contextualSpacing/>
              <w:jc w:val="center"/>
              <w:rPr>
                <w:color w:val="000000"/>
                <w:kern w:val="0"/>
                <w:sz w:val="24"/>
              </w:rPr>
            </w:pPr>
          </w:p>
        </w:tc>
        <w:tc>
          <w:tcPr>
            <w:tcW w:w="1859" w:type="pct"/>
            <w:vAlign w:val="center"/>
          </w:tcPr>
          <w:p w:rsidR="00C72DBD" w:rsidRDefault="00FC0A09">
            <w:pPr>
              <w:widowControl/>
              <w:spacing w:line="360" w:lineRule="atLeast"/>
              <w:contextualSpacing/>
              <w:jc w:val="left"/>
              <w:rPr>
                <w:kern w:val="0"/>
                <w:sz w:val="24"/>
              </w:rPr>
            </w:pPr>
            <w:r>
              <w:rPr>
                <w:kern w:val="0"/>
                <w:sz w:val="24"/>
              </w:rPr>
              <w:t>主要工序单位能耗</w:t>
            </w:r>
          </w:p>
        </w:tc>
        <w:tc>
          <w:tcPr>
            <w:tcW w:w="625" w:type="pct"/>
            <w:vAlign w:val="center"/>
          </w:tcPr>
          <w:p w:rsidR="00C72DBD" w:rsidRDefault="00FC0A09">
            <w:pPr>
              <w:widowControl/>
              <w:spacing w:line="360" w:lineRule="atLeast"/>
              <w:contextualSpacing/>
              <w:jc w:val="center"/>
              <w:rPr>
                <w:kern w:val="0"/>
                <w:sz w:val="24"/>
              </w:rPr>
            </w:pPr>
            <w:r>
              <w:rPr>
                <w:kern w:val="0"/>
                <w:sz w:val="24"/>
              </w:rPr>
              <w:t>kgce/t</w:t>
            </w:r>
          </w:p>
        </w:tc>
        <w:tc>
          <w:tcPr>
            <w:tcW w:w="722" w:type="pct"/>
            <w:vAlign w:val="center"/>
          </w:tcPr>
          <w:p w:rsidR="00C72DBD" w:rsidRDefault="00FC0A09">
            <w:pPr>
              <w:widowControl/>
              <w:spacing w:line="360" w:lineRule="atLeast"/>
              <w:contextualSpacing/>
              <w:jc w:val="center"/>
              <w:rPr>
                <w:kern w:val="0"/>
                <w:sz w:val="24"/>
              </w:rPr>
            </w:pPr>
            <w:r>
              <w:rPr>
                <w:rFonts w:hint="eastAsia"/>
                <w:kern w:val="0"/>
                <w:sz w:val="24"/>
              </w:rPr>
              <w:t>焦化、烧结、</w:t>
            </w:r>
            <w:r>
              <w:rPr>
                <w:kern w:val="0"/>
                <w:sz w:val="24"/>
              </w:rPr>
              <w:t>高炉</w:t>
            </w:r>
            <w:r>
              <w:rPr>
                <w:rFonts w:hint="eastAsia"/>
                <w:kern w:val="0"/>
                <w:sz w:val="24"/>
              </w:rPr>
              <w:t>、</w:t>
            </w:r>
          </w:p>
          <w:p w:rsidR="00C72DBD" w:rsidRDefault="00FC0A09">
            <w:pPr>
              <w:widowControl/>
              <w:spacing w:line="360" w:lineRule="atLeast"/>
              <w:contextualSpacing/>
              <w:jc w:val="center"/>
              <w:rPr>
                <w:kern w:val="0"/>
                <w:sz w:val="24"/>
              </w:rPr>
            </w:pPr>
            <w:r>
              <w:rPr>
                <w:kern w:val="0"/>
                <w:sz w:val="24"/>
              </w:rPr>
              <w:t>转炉</w:t>
            </w:r>
            <w:r>
              <w:rPr>
                <w:rFonts w:hint="eastAsia"/>
                <w:kern w:val="0"/>
                <w:sz w:val="24"/>
              </w:rPr>
              <w:t>满足</w:t>
            </w:r>
          </w:p>
        </w:tc>
        <w:tc>
          <w:tcPr>
            <w:tcW w:w="562" w:type="pct"/>
            <w:vAlign w:val="center"/>
          </w:tcPr>
          <w:p w:rsidR="00C72DBD" w:rsidRDefault="00FC0A09">
            <w:pPr>
              <w:widowControl/>
              <w:spacing w:line="360" w:lineRule="atLeast"/>
              <w:contextualSpacing/>
              <w:jc w:val="center"/>
              <w:rPr>
                <w:kern w:val="0"/>
                <w:sz w:val="24"/>
              </w:rPr>
            </w:pPr>
            <w:r>
              <w:rPr>
                <w:rFonts w:hint="eastAsia"/>
                <w:kern w:val="0"/>
                <w:sz w:val="24"/>
              </w:rPr>
              <w:t>4</w:t>
            </w:r>
          </w:p>
        </w:tc>
      </w:tr>
      <w:tr w:rsidR="00C72DBD">
        <w:trPr>
          <w:trHeight w:val="454"/>
          <w:jc w:val="center"/>
        </w:trPr>
        <w:tc>
          <w:tcPr>
            <w:tcW w:w="450" w:type="pct"/>
            <w:vAlign w:val="center"/>
          </w:tcPr>
          <w:p w:rsidR="00C72DBD" w:rsidRDefault="00FC0A09">
            <w:pPr>
              <w:widowControl/>
              <w:spacing w:line="360" w:lineRule="atLeast"/>
              <w:contextualSpacing/>
              <w:jc w:val="center"/>
              <w:rPr>
                <w:color w:val="000000"/>
                <w:kern w:val="0"/>
                <w:sz w:val="24"/>
              </w:rPr>
            </w:pPr>
            <w:r>
              <w:rPr>
                <w:color w:val="000000"/>
                <w:kern w:val="0"/>
                <w:sz w:val="24"/>
              </w:rPr>
              <w:t>13</w:t>
            </w:r>
          </w:p>
        </w:tc>
        <w:tc>
          <w:tcPr>
            <w:tcW w:w="778" w:type="pct"/>
            <w:gridSpan w:val="2"/>
            <w:vMerge/>
            <w:vAlign w:val="center"/>
          </w:tcPr>
          <w:p w:rsidR="00C72DBD" w:rsidRDefault="00C72DBD">
            <w:pPr>
              <w:widowControl/>
              <w:spacing w:line="360" w:lineRule="atLeast"/>
              <w:contextualSpacing/>
              <w:jc w:val="center"/>
              <w:rPr>
                <w:color w:val="000000"/>
                <w:kern w:val="0"/>
                <w:sz w:val="24"/>
              </w:rPr>
            </w:pPr>
          </w:p>
        </w:tc>
        <w:tc>
          <w:tcPr>
            <w:tcW w:w="1859" w:type="pct"/>
            <w:vAlign w:val="center"/>
          </w:tcPr>
          <w:p w:rsidR="00C72DBD" w:rsidRDefault="00FC0A09">
            <w:pPr>
              <w:widowControl/>
              <w:spacing w:line="360" w:lineRule="atLeast"/>
              <w:contextualSpacing/>
              <w:jc w:val="left"/>
              <w:rPr>
                <w:kern w:val="0"/>
                <w:sz w:val="24"/>
              </w:rPr>
            </w:pPr>
            <w:r>
              <w:rPr>
                <w:kern w:val="0"/>
                <w:sz w:val="24"/>
              </w:rPr>
              <w:t>可再生能源利用</w:t>
            </w:r>
          </w:p>
        </w:tc>
        <w:tc>
          <w:tcPr>
            <w:tcW w:w="625" w:type="pct"/>
            <w:vAlign w:val="center"/>
          </w:tcPr>
          <w:p w:rsidR="00C72DBD" w:rsidRDefault="00FC0A09">
            <w:pPr>
              <w:widowControl/>
              <w:spacing w:line="360" w:lineRule="atLeast"/>
              <w:contextualSpacing/>
              <w:jc w:val="center"/>
              <w:rPr>
                <w:kern w:val="0"/>
                <w:sz w:val="24"/>
              </w:rPr>
            </w:pPr>
            <w:r>
              <w:rPr>
                <w:kern w:val="0"/>
                <w:sz w:val="24"/>
              </w:rPr>
              <w:t>tce</w:t>
            </w:r>
          </w:p>
        </w:tc>
        <w:tc>
          <w:tcPr>
            <w:tcW w:w="722" w:type="pct"/>
            <w:vAlign w:val="center"/>
          </w:tcPr>
          <w:p w:rsidR="00C72DBD" w:rsidRDefault="00FC0A09">
            <w:pPr>
              <w:widowControl/>
              <w:spacing w:line="360" w:lineRule="atLeast"/>
              <w:contextualSpacing/>
              <w:jc w:val="center"/>
              <w:rPr>
                <w:kern w:val="0"/>
                <w:sz w:val="24"/>
              </w:rPr>
            </w:pPr>
            <w:r>
              <w:rPr>
                <w:rFonts w:hint="eastAsia"/>
                <w:kern w:val="0"/>
                <w:sz w:val="24"/>
              </w:rPr>
              <w:t>＞</w:t>
            </w:r>
            <w:r>
              <w:rPr>
                <w:rFonts w:hint="eastAsia"/>
                <w:kern w:val="0"/>
                <w:sz w:val="24"/>
              </w:rPr>
              <w:t>0</w:t>
            </w:r>
            <w:r>
              <w:rPr>
                <w:rFonts w:hint="eastAsia"/>
                <w:kern w:val="0"/>
                <w:sz w:val="24"/>
              </w:rPr>
              <w:t>且比上年增加</w:t>
            </w:r>
          </w:p>
        </w:tc>
        <w:tc>
          <w:tcPr>
            <w:tcW w:w="562" w:type="pct"/>
            <w:vAlign w:val="center"/>
          </w:tcPr>
          <w:p w:rsidR="00C72DBD" w:rsidRDefault="00FC0A09">
            <w:pPr>
              <w:widowControl/>
              <w:spacing w:line="360" w:lineRule="atLeast"/>
              <w:contextualSpacing/>
              <w:jc w:val="center"/>
              <w:rPr>
                <w:kern w:val="0"/>
                <w:sz w:val="24"/>
              </w:rPr>
            </w:pPr>
            <w:r>
              <w:rPr>
                <w:kern w:val="0"/>
                <w:sz w:val="24"/>
              </w:rPr>
              <w:t>2</w:t>
            </w:r>
          </w:p>
        </w:tc>
      </w:tr>
      <w:tr w:rsidR="00C72DBD">
        <w:trPr>
          <w:trHeight w:val="454"/>
          <w:jc w:val="center"/>
        </w:trPr>
        <w:tc>
          <w:tcPr>
            <w:tcW w:w="450" w:type="pct"/>
            <w:vAlign w:val="center"/>
          </w:tcPr>
          <w:p w:rsidR="00C72DBD" w:rsidRDefault="00FC0A09">
            <w:pPr>
              <w:widowControl/>
              <w:spacing w:line="360" w:lineRule="atLeast"/>
              <w:contextualSpacing/>
              <w:jc w:val="center"/>
              <w:rPr>
                <w:color w:val="000000"/>
                <w:kern w:val="0"/>
                <w:sz w:val="24"/>
              </w:rPr>
            </w:pPr>
            <w:r>
              <w:rPr>
                <w:color w:val="000000"/>
                <w:kern w:val="0"/>
                <w:sz w:val="24"/>
              </w:rPr>
              <w:t>14</w:t>
            </w:r>
          </w:p>
        </w:tc>
        <w:tc>
          <w:tcPr>
            <w:tcW w:w="778" w:type="pct"/>
            <w:gridSpan w:val="2"/>
            <w:vMerge/>
            <w:vAlign w:val="center"/>
          </w:tcPr>
          <w:p w:rsidR="00C72DBD" w:rsidRDefault="00C72DBD">
            <w:pPr>
              <w:widowControl/>
              <w:spacing w:line="360" w:lineRule="atLeast"/>
              <w:contextualSpacing/>
              <w:jc w:val="center"/>
              <w:rPr>
                <w:color w:val="000000"/>
                <w:kern w:val="0"/>
                <w:sz w:val="24"/>
              </w:rPr>
            </w:pPr>
          </w:p>
        </w:tc>
        <w:tc>
          <w:tcPr>
            <w:tcW w:w="1859" w:type="pct"/>
            <w:vAlign w:val="center"/>
          </w:tcPr>
          <w:p w:rsidR="00C72DBD" w:rsidRDefault="00FC0A09">
            <w:pPr>
              <w:widowControl/>
              <w:spacing w:line="360" w:lineRule="atLeast"/>
              <w:contextualSpacing/>
              <w:jc w:val="left"/>
              <w:rPr>
                <w:kern w:val="0"/>
                <w:sz w:val="24"/>
              </w:rPr>
            </w:pPr>
            <w:r>
              <w:rPr>
                <w:kern w:val="0"/>
                <w:sz w:val="24"/>
              </w:rPr>
              <w:t>余能回收量占能源消耗总量比例</w:t>
            </w:r>
          </w:p>
        </w:tc>
        <w:tc>
          <w:tcPr>
            <w:tcW w:w="625" w:type="pct"/>
            <w:vAlign w:val="center"/>
          </w:tcPr>
          <w:p w:rsidR="00C72DBD" w:rsidRDefault="00FC0A09">
            <w:pPr>
              <w:widowControl/>
              <w:spacing w:line="360" w:lineRule="atLeast"/>
              <w:contextualSpacing/>
              <w:jc w:val="center"/>
              <w:rPr>
                <w:kern w:val="0"/>
                <w:sz w:val="24"/>
              </w:rPr>
            </w:pPr>
            <w:r>
              <w:rPr>
                <w:kern w:val="0"/>
                <w:sz w:val="24"/>
              </w:rPr>
              <w:t>%</w:t>
            </w:r>
          </w:p>
        </w:tc>
        <w:tc>
          <w:tcPr>
            <w:tcW w:w="722" w:type="pct"/>
            <w:vAlign w:val="center"/>
          </w:tcPr>
          <w:p w:rsidR="00C72DBD" w:rsidRDefault="00FC0A09">
            <w:pPr>
              <w:widowControl/>
              <w:spacing w:line="360" w:lineRule="atLeast"/>
              <w:contextualSpacing/>
              <w:jc w:val="center"/>
              <w:rPr>
                <w:kern w:val="0"/>
                <w:sz w:val="24"/>
              </w:rPr>
            </w:pPr>
            <w:r>
              <w:rPr>
                <w:kern w:val="0"/>
                <w:sz w:val="24"/>
              </w:rPr>
              <w:t>6.16</w:t>
            </w:r>
          </w:p>
        </w:tc>
        <w:tc>
          <w:tcPr>
            <w:tcW w:w="562" w:type="pct"/>
            <w:vAlign w:val="center"/>
          </w:tcPr>
          <w:p w:rsidR="00C72DBD" w:rsidRDefault="00FC0A09">
            <w:pPr>
              <w:widowControl/>
              <w:spacing w:line="360" w:lineRule="atLeast"/>
              <w:contextualSpacing/>
              <w:jc w:val="center"/>
              <w:rPr>
                <w:kern w:val="0"/>
                <w:sz w:val="24"/>
              </w:rPr>
            </w:pPr>
            <w:r>
              <w:rPr>
                <w:kern w:val="0"/>
                <w:sz w:val="24"/>
              </w:rPr>
              <w:t>0</w:t>
            </w:r>
          </w:p>
        </w:tc>
      </w:tr>
      <w:tr w:rsidR="00C72DBD">
        <w:trPr>
          <w:trHeight w:val="454"/>
          <w:jc w:val="center"/>
        </w:trPr>
        <w:tc>
          <w:tcPr>
            <w:tcW w:w="450" w:type="pct"/>
            <w:vAlign w:val="center"/>
          </w:tcPr>
          <w:p w:rsidR="00C72DBD" w:rsidRDefault="00FC0A09">
            <w:pPr>
              <w:widowControl/>
              <w:spacing w:line="360" w:lineRule="atLeast"/>
              <w:contextualSpacing/>
              <w:jc w:val="center"/>
              <w:rPr>
                <w:color w:val="000000"/>
                <w:kern w:val="0"/>
                <w:sz w:val="24"/>
              </w:rPr>
            </w:pPr>
            <w:r>
              <w:rPr>
                <w:color w:val="000000"/>
                <w:kern w:val="0"/>
                <w:sz w:val="24"/>
              </w:rPr>
              <w:t>15</w:t>
            </w:r>
          </w:p>
        </w:tc>
        <w:tc>
          <w:tcPr>
            <w:tcW w:w="778" w:type="pct"/>
            <w:gridSpan w:val="2"/>
            <w:vMerge/>
            <w:vAlign w:val="center"/>
          </w:tcPr>
          <w:p w:rsidR="00C72DBD" w:rsidRDefault="00C72DBD">
            <w:pPr>
              <w:widowControl/>
              <w:spacing w:line="360" w:lineRule="atLeast"/>
              <w:contextualSpacing/>
              <w:jc w:val="center"/>
              <w:rPr>
                <w:color w:val="000000"/>
                <w:kern w:val="0"/>
                <w:sz w:val="24"/>
              </w:rPr>
            </w:pPr>
          </w:p>
        </w:tc>
        <w:tc>
          <w:tcPr>
            <w:tcW w:w="1859" w:type="pct"/>
            <w:vAlign w:val="center"/>
          </w:tcPr>
          <w:p w:rsidR="00C72DBD" w:rsidRDefault="00FC0A09">
            <w:pPr>
              <w:widowControl/>
              <w:spacing w:line="360" w:lineRule="atLeast"/>
              <w:contextualSpacing/>
              <w:jc w:val="left"/>
              <w:rPr>
                <w:color w:val="000000"/>
                <w:kern w:val="0"/>
                <w:sz w:val="24"/>
              </w:rPr>
            </w:pPr>
            <w:r>
              <w:rPr>
                <w:color w:val="000000"/>
                <w:kern w:val="0"/>
                <w:sz w:val="24"/>
              </w:rPr>
              <w:t>能源放散率</w:t>
            </w:r>
          </w:p>
        </w:tc>
        <w:tc>
          <w:tcPr>
            <w:tcW w:w="625" w:type="pct"/>
            <w:vAlign w:val="center"/>
          </w:tcPr>
          <w:p w:rsidR="00C72DBD" w:rsidRDefault="00FC0A09">
            <w:pPr>
              <w:widowControl/>
              <w:spacing w:line="360" w:lineRule="atLeast"/>
              <w:contextualSpacing/>
              <w:jc w:val="center"/>
              <w:rPr>
                <w:color w:val="000000"/>
                <w:kern w:val="0"/>
                <w:sz w:val="24"/>
              </w:rPr>
            </w:pPr>
            <w:r>
              <w:rPr>
                <w:color w:val="000000"/>
                <w:kern w:val="0"/>
                <w:sz w:val="24"/>
              </w:rPr>
              <w:t>%</w:t>
            </w:r>
          </w:p>
        </w:tc>
        <w:tc>
          <w:tcPr>
            <w:tcW w:w="722" w:type="pct"/>
            <w:vAlign w:val="center"/>
          </w:tcPr>
          <w:p w:rsidR="00C72DBD" w:rsidRDefault="00FC0A09">
            <w:pPr>
              <w:widowControl/>
              <w:spacing w:line="360" w:lineRule="atLeast"/>
              <w:contextualSpacing/>
              <w:jc w:val="center"/>
              <w:rPr>
                <w:color w:val="000000"/>
                <w:kern w:val="0"/>
                <w:sz w:val="24"/>
              </w:rPr>
            </w:pPr>
            <w:r>
              <w:rPr>
                <w:color w:val="000000"/>
                <w:kern w:val="0"/>
                <w:sz w:val="24"/>
              </w:rPr>
              <w:t>0</w:t>
            </w:r>
          </w:p>
        </w:tc>
        <w:tc>
          <w:tcPr>
            <w:tcW w:w="562" w:type="pct"/>
            <w:vAlign w:val="center"/>
          </w:tcPr>
          <w:p w:rsidR="00C72DBD" w:rsidRDefault="00FC0A09">
            <w:pPr>
              <w:widowControl/>
              <w:spacing w:line="360" w:lineRule="atLeast"/>
              <w:contextualSpacing/>
              <w:jc w:val="center"/>
              <w:rPr>
                <w:color w:val="000000"/>
                <w:kern w:val="0"/>
                <w:sz w:val="24"/>
              </w:rPr>
            </w:pPr>
            <w:r>
              <w:rPr>
                <w:color w:val="000000"/>
                <w:kern w:val="0"/>
                <w:sz w:val="24"/>
              </w:rPr>
              <w:t>2</w:t>
            </w:r>
          </w:p>
        </w:tc>
      </w:tr>
      <w:tr w:rsidR="00C72DBD">
        <w:trPr>
          <w:trHeight w:val="454"/>
          <w:jc w:val="center"/>
        </w:trPr>
        <w:tc>
          <w:tcPr>
            <w:tcW w:w="450" w:type="pct"/>
            <w:vAlign w:val="center"/>
          </w:tcPr>
          <w:p w:rsidR="00C72DBD" w:rsidRDefault="00FC0A09">
            <w:pPr>
              <w:widowControl/>
              <w:spacing w:line="360" w:lineRule="atLeast"/>
              <w:contextualSpacing/>
              <w:jc w:val="center"/>
              <w:rPr>
                <w:color w:val="000000"/>
                <w:kern w:val="0"/>
                <w:sz w:val="24"/>
              </w:rPr>
            </w:pPr>
            <w:r>
              <w:rPr>
                <w:color w:val="000000"/>
                <w:kern w:val="0"/>
                <w:sz w:val="24"/>
              </w:rPr>
              <w:t>16</w:t>
            </w:r>
          </w:p>
        </w:tc>
        <w:tc>
          <w:tcPr>
            <w:tcW w:w="778" w:type="pct"/>
            <w:gridSpan w:val="2"/>
            <w:vMerge w:val="restart"/>
            <w:vAlign w:val="center"/>
          </w:tcPr>
          <w:p w:rsidR="00C72DBD" w:rsidRDefault="00FC0A09">
            <w:pPr>
              <w:widowControl/>
              <w:spacing w:line="360" w:lineRule="atLeast"/>
              <w:contextualSpacing/>
              <w:jc w:val="center"/>
              <w:rPr>
                <w:color w:val="000000"/>
                <w:kern w:val="0"/>
                <w:sz w:val="24"/>
              </w:rPr>
            </w:pPr>
            <w:r>
              <w:rPr>
                <w:color w:val="000000"/>
                <w:kern w:val="0"/>
                <w:sz w:val="24"/>
              </w:rPr>
              <w:t>环保绩效</w:t>
            </w:r>
          </w:p>
        </w:tc>
        <w:tc>
          <w:tcPr>
            <w:tcW w:w="1859" w:type="pct"/>
            <w:vAlign w:val="center"/>
          </w:tcPr>
          <w:p w:rsidR="00C72DBD" w:rsidRDefault="00FC0A09">
            <w:pPr>
              <w:widowControl/>
              <w:spacing w:line="360" w:lineRule="atLeast"/>
              <w:contextualSpacing/>
              <w:jc w:val="left"/>
              <w:rPr>
                <w:color w:val="000000"/>
                <w:kern w:val="0"/>
                <w:sz w:val="24"/>
              </w:rPr>
            </w:pPr>
            <w:r>
              <w:rPr>
                <w:color w:val="000000"/>
                <w:kern w:val="0"/>
                <w:sz w:val="24"/>
              </w:rPr>
              <w:t>吨钢颗粒物排放量</w:t>
            </w:r>
          </w:p>
        </w:tc>
        <w:tc>
          <w:tcPr>
            <w:tcW w:w="625" w:type="pct"/>
            <w:vAlign w:val="center"/>
          </w:tcPr>
          <w:p w:rsidR="00C72DBD" w:rsidRDefault="00FC0A09">
            <w:pPr>
              <w:widowControl/>
              <w:spacing w:line="360" w:lineRule="atLeast"/>
              <w:contextualSpacing/>
              <w:jc w:val="center"/>
              <w:rPr>
                <w:color w:val="000000"/>
                <w:kern w:val="0"/>
                <w:sz w:val="24"/>
              </w:rPr>
            </w:pPr>
            <w:r>
              <w:rPr>
                <w:color w:val="000000"/>
                <w:kern w:val="0"/>
                <w:sz w:val="24"/>
              </w:rPr>
              <w:t>kg/t</w:t>
            </w:r>
          </w:p>
        </w:tc>
        <w:tc>
          <w:tcPr>
            <w:tcW w:w="722" w:type="pct"/>
            <w:vAlign w:val="center"/>
          </w:tcPr>
          <w:p w:rsidR="00C72DBD" w:rsidRDefault="00FC0A09">
            <w:pPr>
              <w:widowControl/>
              <w:spacing w:line="360" w:lineRule="atLeast"/>
              <w:contextualSpacing/>
              <w:jc w:val="center"/>
              <w:rPr>
                <w:color w:val="000000"/>
                <w:kern w:val="0"/>
                <w:sz w:val="24"/>
              </w:rPr>
            </w:pPr>
            <w:r>
              <w:rPr>
                <w:color w:val="000000"/>
                <w:kern w:val="0"/>
                <w:sz w:val="24"/>
              </w:rPr>
              <w:t>0.</w:t>
            </w:r>
            <w:r>
              <w:rPr>
                <w:rFonts w:hint="eastAsia"/>
                <w:color w:val="000000"/>
                <w:kern w:val="0"/>
                <w:sz w:val="24"/>
              </w:rPr>
              <w:t>44</w:t>
            </w:r>
          </w:p>
        </w:tc>
        <w:tc>
          <w:tcPr>
            <w:tcW w:w="562" w:type="pct"/>
            <w:vAlign w:val="center"/>
          </w:tcPr>
          <w:p w:rsidR="00C72DBD" w:rsidRDefault="00FC0A09">
            <w:pPr>
              <w:widowControl/>
              <w:spacing w:line="360" w:lineRule="atLeast"/>
              <w:contextualSpacing/>
              <w:jc w:val="center"/>
              <w:rPr>
                <w:color w:val="000000"/>
                <w:kern w:val="0"/>
                <w:sz w:val="24"/>
              </w:rPr>
            </w:pPr>
            <w:r>
              <w:rPr>
                <w:color w:val="000000"/>
                <w:kern w:val="0"/>
                <w:sz w:val="24"/>
              </w:rPr>
              <w:t>1</w:t>
            </w:r>
          </w:p>
        </w:tc>
      </w:tr>
      <w:tr w:rsidR="00C72DBD">
        <w:trPr>
          <w:trHeight w:val="454"/>
          <w:jc w:val="center"/>
        </w:trPr>
        <w:tc>
          <w:tcPr>
            <w:tcW w:w="450" w:type="pct"/>
            <w:vAlign w:val="center"/>
          </w:tcPr>
          <w:p w:rsidR="00C72DBD" w:rsidRDefault="00FC0A09">
            <w:pPr>
              <w:widowControl/>
              <w:spacing w:line="360" w:lineRule="atLeast"/>
              <w:contextualSpacing/>
              <w:jc w:val="center"/>
              <w:rPr>
                <w:color w:val="000000"/>
                <w:kern w:val="0"/>
                <w:sz w:val="24"/>
              </w:rPr>
            </w:pPr>
            <w:r>
              <w:rPr>
                <w:color w:val="000000"/>
                <w:kern w:val="0"/>
                <w:sz w:val="24"/>
              </w:rPr>
              <w:t>17</w:t>
            </w:r>
          </w:p>
        </w:tc>
        <w:tc>
          <w:tcPr>
            <w:tcW w:w="778" w:type="pct"/>
            <w:gridSpan w:val="2"/>
            <w:vMerge/>
            <w:vAlign w:val="center"/>
          </w:tcPr>
          <w:p w:rsidR="00C72DBD" w:rsidRDefault="00C72DBD">
            <w:pPr>
              <w:widowControl/>
              <w:spacing w:line="360" w:lineRule="atLeast"/>
              <w:contextualSpacing/>
              <w:jc w:val="center"/>
              <w:rPr>
                <w:color w:val="000000"/>
                <w:kern w:val="0"/>
                <w:sz w:val="24"/>
              </w:rPr>
            </w:pPr>
          </w:p>
        </w:tc>
        <w:tc>
          <w:tcPr>
            <w:tcW w:w="1859" w:type="pct"/>
            <w:vAlign w:val="center"/>
          </w:tcPr>
          <w:p w:rsidR="00C72DBD" w:rsidRDefault="00FC0A09">
            <w:pPr>
              <w:widowControl/>
              <w:spacing w:line="360" w:lineRule="atLeast"/>
              <w:contextualSpacing/>
              <w:jc w:val="left"/>
              <w:rPr>
                <w:color w:val="000000"/>
                <w:kern w:val="0"/>
                <w:sz w:val="24"/>
              </w:rPr>
            </w:pPr>
            <w:r>
              <w:rPr>
                <w:color w:val="000000"/>
                <w:kern w:val="0"/>
                <w:sz w:val="24"/>
              </w:rPr>
              <w:t>吨钢二氧化硫排放量</w:t>
            </w:r>
          </w:p>
        </w:tc>
        <w:tc>
          <w:tcPr>
            <w:tcW w:w="625" w:type="pct"/>
            <w:vAlign w:val="center"/>
          </w:tcPr>
          <w:p w:rsidR="00C72DBD" w:rsidRDefault="00FC0A09">
            <w:pPr>
              <w:widowControl/>
              <w:spacing w:line="360" w:lineRule="atLeast"/>
              <w:contextualSpacing/>
              <w:jc w:val="center"/>
              <w:rPr>
                <w:color w:val="000000"/>
                <w:kern w:val="0"/>
                <w:sz w:val="24"/>
              </w:rPr>
            </w:pPr>
            <w:r>
              <w:rPr>
                <w:color w:val="000000"/>
                <w:kern w:val="0"/>
                <w:sz w:val="24"/>
              </w:rPr>
              <w:t>kg/t</w:t>
            </w:r>
          </w:p>
        </w:tc>
        <w:tc>
          <w:tcPr>
            <w:tcW w:w="722" w:type="pct"/>
            <w:vAlign w:val="center"/>
          </w:tcPr>
          <w:p w:rsidR="00C72DBD" w:rsidRDefault="00FC0A09">
            <w:pPr>
              <w:widowControl/>
              <w:spacing w:line="360" w:lineRule="atLeast"/>
              <w:contextualSpacing/>
              <w:jc w:val="center"/>
              <w:rPr>
                <w:color w:val="000000"/>
                <w:kern w:val="0"/>
                <w:sz w:val="24"/>
              </w:rPr>
            </w:pPr>
            <w:r>
              <w:rPr>
                <w:color w:val="000000"/>
                <w:kern w:val="0"/>
                <w:sz w:val="24"/>
              </w:rPr>
              <w:t>0.2</w:t>
            </w:r>
            <w:r>
              <w:rPr>
                <w:rFonts w:hint="eastAsia"/>
                <w:color w:val="000000"/>
                <w:kern w:val="0"/>
                <w:sz w:val="24"/>
              </w:rPr>
              <w:t>4</w:t>
            </w:r>
          </w:p>
        </w:tc>
        <w:tc>
          <w:tcPr>
            <w:tcW w:w="562" w:type="pct"/>
            <w:vAlign w:val="center"/>
          </w:tcPr>
          <w:p w:rsidR="00C72DBD" w:rsidRDefault="00FC0A09">
            <w:pPr>
              <w:widowControl/>
              <w:spacing w:line="360" w:lineRule="atLeast"/>
              <w:contextualSpacing/>
              <w:jc w:val="center"/>
              <w:rPr>
                <w:color w:val="000000"/>
                <w:kern w:val="0"/>
                <w:sz w:val="24"/>
              </w:rPr>
            </w:pPr>
            <w:r>
              <w:rPr>
                <w:color w:val="000000"/>
                <w:kern w:val="0"/>
                <w:sz w:val="24"/>
              </w:rPr>
              <w:t>2</w:t>
            </w:r>
          </w:p>
        </w:tc>
      </w:tr>
      <w:tr w:rsidR="00C72DBD">
        <w:trPr>
          <w:trHeight w:val="454"/>
          <w:jc w:val="center"/>
        </w:trPr>
        <w:tc>
          <w:tcPr>
            <w:tcW w:w="450" w:type="pct"/>
            <w:vAlign w:val="center"/>
          </w:tcPr>
          <w:p w:rsidR="00C72DBD" w:rsidRDefault="00FC0A09">
            <w:pPr>
              <w:widowControl/>
              <w:spacing w:line="360" w:lineRule="atLeast"/>
              <w:contextualSpacing/>
              <w:jc w:val="center"/>
              <w:rPr>
                <w:color w:val="000000"/>
                <w:kern w:val="0"/>
                <w:sz w:val="24"/>
              </w:rPr>
            </w:pPr>
            <w:r>
              <w:rPr>
                <w:color w:val="000000"/>
                <w:kern w:val="0"/>
                <w:sz w:val="24"/>
              </w:rPr>
              <w:t>18</w:t>
            </w:r>
          </w:p>
        </w:tc>
        <w:tc>
          <w:tcPr>
            <w:tcW w:w="778" w:type="pct"/>
            <w:gridSpan w:val="2"/>
            <w:vMerge/>
            <w:vAlign w:val="center"/>
          </w:tcPr>
          <w:p w:rsidR="00C72DBD" w:rsidRDefault="00C72DBD">
            <w:pPr>
              <w:widowControl/>
              <w:spacing w:line="360" w:lineRule="atLeast"/>
              <w:contextualSpacing/>
              <w:jc w:val="center"/>
              <w:rPr>
                <w:color w:val="000000"/>
                <w:kern w:val="0"/>
                <w:sz w:val="24"/>
              </w:rPr>
            </w:pPr>
          </w:p>
        </w:tc>
        <w:tc>
          <w:tcPr>
            <w:tcW w:w="1859" w:type="pct"/>
            <w:vAlign w:val="center"/>
          </w:tcPr>
          <w:p w:rsidR="00C72DBD" w:rsidRDefault="00FC0A09">
            <w:pPr>
              <w:widowControl/>
              <w:spacing w:line="360" w:lineRule="atLeast"/>
              <w:contextualSpacing/>
              <w:jc w:val="left"/>
              <w:rPr>
                <w:color w:val="000000"/>
                <w:kern w:val="0"/>
                <w:sz w:val="24"/>
              </w:rPr>
            </w:pPr>
            <w:r>
              <w:rPr>
                <w:color w:val="000000"/>
                <w:kern w:val="0"/>
                <w:sz w:val="24"/>
              </w:rPr>
              <w:t>吨钢氮氧化物排放量</w:t>
            </w:r>
          </w:p>
        </w:tc>
        <w:tc>
          <w:tcPr>
            <w:tcW w:w="625" w:type="pct"/>
            <w:vAlign w:val="center"/>
          </w:tcPr>
          <w:p w:rsidR="00C72DBD" w:rsidRDefault="00FC0A09">
            <w:pPr>
              <w:widowControl/>
              <w:spacing w:line="360" w:lineRule="atLeast"/>
              <w:contextualSpacing/>
              <w:jc w:val="center"/>
              <w:rPr>
                <w:color w:val="000000"/>
                <w:kern w:val="0"/>
                <w:sz w:val="24"/>
              </w:rPr>
            </w:pPr>
            <w:r>
              <w:rPr>
                <w:color w:val="000000"/>
                <w:kern w:val="0"/>
                <w:sz w:val="24"/>
              </w:rPr>
              <w:t>kg/t</w:t>
            </w:r>
          </w:p>
        </w:tc>
        <w:tc>
          <w:tcPr>
            <w:tcW w:w="722" w:type="pct"/>
            <w:vAlign w:val="center"/>
          </w:tcPr>
          <w:p w:rsidR="00C72DBD" w:rsidRDefault="00FC0A09">
            <w:pPr>
              <w:widowControl/>
              <w:spacing w:line="360" w:lineRule="atLeast"/>
              <w:contextualSpacing/>
              <w:jc w:val="center"/>
              <w:rPr>
                <w:color w:val="000000"/>
                <w:kern w:val="0"/>
                <w:sz w:val="24"/>
              </w:rPr>
            </w:pPr>
            <w:r>
              <w:rPr>
                <w:color w:val="000000"/>
                <w:kern w:val="0"/>
                <w:sz w:val="24"/>
              </w:rPr>
              <w:t>0.</w:t>
            </w:r>
            <w:r>
              <w:rPr>
                <w:rFonts w:hint="eastAsia"/>
                <w:color w:val="000000"/>
                <w:kern w:val="0"/>
                <w:sz w:val="24"/>
              </w:rPr>
              <w:t>42</w:t>
            </w:r>
          </w:p>
        </w:tc>
        <w:tc>
          <w:tcPr>
            <w:tcW w:w="562" w:type="pct"/>
            <w:vAlign w:val="center"/>
          </w:tcPr>
          <w:p w:rsidR="00C72DBD" w:rsidRDefault="00FC0A09">
            <w:pPr>
              <w:widowControl/>
              <w:spacing w:line="360" w:lineRule="atLeast"/>
              <w:contextualSpacing/>
              <w:jc w:val="center"/>
              <w:rPr>
                <w:color w:val="000000"/>
                <w:kern w:val="0"/>
                <w:sz w:val="24"/>
              </w:rPr>
            </w:pPr>
            <w:r>
              <w:rPr>
                <w:color w:val="000000"/>
                <w:kern w:val="0"/>
                <w:sz w:val="24"/>
              </w:rPr>
              <w:t>2</w:t>
            </w:r>
          </w:p>
        </w:tc>
      </w:tr>
      <w:tr w:rsidR="00C72DBD">
        <w:trPr>
          <w:trHeight w:val="454"/>
          <w:jc w:val="center"/>
        </w:trPr>
        <w:tc>
          <w:tcPr>
            <w:tcW w:w="450" w:type="pct"/>
            <w:vAlign w:val="center"/>
          </w:tcPr>
          <w:p w:rsidR="00C72DBD" w:rsidRDefault="00FC0A09">
            <w:pPr>
              <w:widowControl/>
              <w:spacing w:line="360" w:lineRule="atLeast"/>
              <w:contextualSpacing/>
              <w:jc w:val="center"/>
              <w:rPr>
                <w:color w:val="000000"/>
                <w:kern w:val="0"/>
                <w:sz w:val="24"/>
              </w:rPr>
            </w:pPr>
            <w:r>
              <w:rPr>
                <w:color w:val="000000"/>
                <w:kern w:val="0"/>
                <w:sz w:val="24"/>
              </w:rPr>
              <w:t>19</w:t>
            </w:r>
          </w:p>
        </w:tc>
        <w:tc>
          <w:tcPr>
            <w:tcW w:w="778" w:type="pct"/>
            <w:gridSpan w:val="2"/>
            <w:vMerge/>
            <w:vAlign w:val="center"/>
          </w:tcPr>
          <w:p w:rsidR="00C72DBD" w:rsidRDefault="00C72DBD">
            <w:pPr>
              <w:widowControl/>
              <w:spacing w:line="360" w:lineRule="atLeast"/>
              <w:contextualSpacing/>
              <w:jc w:val="center"/>
              <w:rPr>
                <w:color w:val="000000"/>
                <w:kern w:val="0"/>
                <w:sz w:val="24"/>
              </w:rPr>
            </w:pPr>
          </w:p>
        </w:tc>
        <w:tc>
          <w:tcPr>
            <w:tcW w:w="1859" w:type="pct"/>
            <w:vAlign w:val="center"/>
          </w:tcPr>
          <w:p w:rsidR="00C72DBD" w:rsidRDefault="00FC0A09">
            <w:pPr>
              <w:widowControl/>
              <w:spacing w:line="360" w:lineRule="atLeast"/>
              <w:contextualSpacing/>
              <w:jc w:val="left"/>
              <w:rPr>
                <w:color w:val="000000"/>
                <w:kern w:val="0"/>
                <w:sz w:val="24"/>
              </w:rPr>
            </w:pPr>
            <w:r>
              <w:rPr>
                <w:sz w:val="24"/>
              </w:rPr>
              <w:t>企业无组织排放控制</w:t>
            </w:r>
          </w:p>
        </w:tc>
        <w:tc>
          <w:tcPr>
            <w:tcW w:w="625" w:type="pct"/>
            <w:vAlign w:val="center"/>
          </w:tcPr>
          <w:p w:rsidR="00C72DBD" w:rsidRDefault="00FC0A09">
            <w:pPr>
              <w:widowControl/>
              <w:spacing w:line="360" w:lineRule="atLeast"/>
              <w:contextualSpacing/>
              <w:jc w:val="center"/>
              <w:rPr>
                <w:color w:val="000000"/>
                <w:kern w:val="0"/>
                <w:sz w:val="24"/>
              </w:rPr>
            </w:pPr>
            <w:r>
              <w:rPr>
                <w:color w:val="000000"/>
                <w:kern w:val="0"/>
                <w:sz w:val="24"/>
              </w:rPr>
              <w:t>—</w:t>
            </w:r>
          </w:p>
        </w:tc>
        <w:tc>
          <w:tcPr>
            <w:tcW w:w="722" w:type="pct"/>
            <w:vAlign w:val="center"/>
          </w:tcPr>
          <w:p w:rsidR="00C72DBD" w:rsidRDefault="00FC0A09">
            <w:pPr>
              <w:widowControl/>
              <w:spacing w:line="360" w:lineRule="atLeast"/>
              <w:contextualSpacing/>
              <w:jc w:val="center"/>
              <w:rPr>
                <w:color w:val="000000"/>
                <w:kern w:val="0"/>
                <w:sz w:val="24"/>
              </w:rPr>
            </w:pPr>
            <w:r>
              <w:rPr>
                <w:color w:val="000000"/>
                <w:kern w:val="0"/>
                <w:sz w:val="24"/>
              </w:rPr>
              <w:t>物料储存、输送、生产工艺满足超低排放要求</w:t>
            </w:r>
          </w:p>
        </w:tc>
        <w:tc>
          <w:tcPr>
            <w:tcW w:w="562" w:type="pct"/>
            <w:vAlign w:val="center"/>
          </w:tcPr>
          <w:p w:rsidR="00C72DBD" w:rsidRDefault="00FC0A09">
            <w:pPr>
              <w:widowControl/>
              <w:spacing w:line="360" w:lineRule="atLeast"/>
              <w:contextualSpacing/>
              <w:jc w:val="center"/>
              <w:rPr>
                <w:color w:val="000000"/>
                <w:kern w:val="0"/>
                <w:sz w:val="24"/>
              </w:rPr>
            </w:pPr>
            <w:r>
              <w:rPr>
                <w:color w:val="000000"/>
                <w:kern w:val="0"/>
                <w:sz w:val="24"/>
              </w:rPr>
              <w:t>3</w:t>
            </w:r>
          </w:p>
        </w:tc>
      </w:tr>
      <w:tr w:rsidR="00C72DBD">
        <w:trPr>
          <w:trHeight w:val="454"/>
          <w:jc w:val="center"/>
        </w:trPr>
        <w:tc>
          <w:tcPr>
            <w:tcW w:w="450" w:type="pct"/>
            <w:vAlign w:val="center"/>
          </w:tcPr>
          <w:p w:rsidR="00C72DBD" w:rsidRDefault="00FC0A09">
            <w:pPr>
              <w:widowControl/>
              <w:spacing w:line="360" w:lineRule="atLeast"/>
              <w:contextualSpacing/>
              <w:jc w:val="center"/>
              <w:rPr>
                <w:color w:val="000000"/>
                <w:kern w:val="0"/>
                <w:sz w:val="24"/>
              </w:rPr>
            </w:pPr>
            <w:r>
              <w:rPr>
                <w:color w:val="000000"/>
                <w:kern w:val="0"/>
                <w:sz w:val="24"/>
              </w:rPr>
              <w:t>20</w:t>
            </w:r>
          </w:p>
        </w:tc>
        <w:tc>
          <w:tcPr>
            <w:tcW w:w="778" w:type="pct"/>
            <w:gridSpan w:val="2"/>
            <w:vMerge/>
            <w:vAlign w:val="center"/>
          </w:tcPr>
          <w:p w:rsidR="00C72DBD" w:rsidRDefault="00C72DBD">
            <w:pPr>
              <w:widowControl/>
              <w:spacing w:line="360" w:lineRule="atLeast"/>
              <w:contextualSpacing/>
              <w:jc w:val="center"/>
              <w:rPr>
                <w:color w:val="000000"/>
                <w:kern w:val="0"/>
                <w:sz w:val="24"/>
              </w:rPr>
            </w:pPr>
          </w:p>
        </w:tc>
        <w:tc>
          <w:tcPr>
            <w:tcW w:w="1859" w:type="pct"/>
            <w:vAlign w:val="center"/>
          </w:tcPr>
          <w:p w:rsidR="00C72DBD" w:rsidRDefault="00FC0A09">
            <w:pPr>
              <w:widowControl/>
              <w:spacing w:line="360" w:lineRule="atLeast"/>
              <w:contextualSpacing/>
              <w:jc w:val="left"/>
              <w:rPr>
                <w:color w:val="000000"/>
                <w:kern w:val="0"/>
                <w:sz w:val="24"/>
              </w:rPr>
            </w:pPr>
            <w:r>
              <w:rPr>
                <w:color w:val="000000"/>
                <w:kern w:val="0"/>
                <w:sz w:val="24"/>
              </w:rPr>
              <w:t>吨钢化学需氧量排放量</w:t>
            </w:r>
          </w:p>
        </w:tc>
        <w:tc>
          <w:tcPr>
            <w:tcW w:w="625" w:type="pct"/>
            <w:vAlign w:val="center"/>
          </w:tcPr>
          <w:p w:rsidR="00C72DBD" w:rsidRDefault="00FC0A09">
            <w:pPr>
              <w:widowControl/>
              <w:spacing w:line="360" w:lineRule="atLeast"/>
              <w:contextualSpacing/>
              <w:jc w:val="center"/>
              <w:rPr>
                <w:color w:val="000000"/>
                <w:kern w:val="0"/>
                <w:sz w:val="24"/>
              </w:rPr>
            </w:pPr>
            <w:r>
              <w:rPr>
                <w:color w:val="000000"/>
                <w:kern w:val="0"/>
                <w:sz w:val="24"/>
              </w:rPr>
              <w:t>kg/t</w:t>
            </w:r>
          </w:p>
        </w:tc>
        <w:tc>
          <w:tcPr>
            <w:tcW w:w="722" w:type="pct"/>
            <w:vAlign w:val="center"/>
          </w:tcPr>
          <w:p w:rsidR="00C72DBD" w:rsidRDefault="00FC0A09">
            <w:pPr>
              <w:widowControl/>
              <w:spacing w:line="360" w:lineRule="atLeast"/>
              <w:contextualSpacing/>
              <w:jc w:val="center"/>
              <w:rPr>
                <w:color w:val="000000"/>
                <w:kern w:val="0"/>
                <w:sz w:val="24"/>
              </w:rPr>
            </w:pPr>
            <w:r>
              <w:rPr>
                <w:color w:val="000000"/>
                <w:kern w:val="0"/>
                <w:sz w:val="24"/>
              </w:rPr>
              <w:t>0</w:t>
            </w:r>
          </w:p>
        </w:tc>
        <w:tc>
          <w:tcPr>
            <w:tcW w:w="562" w:type="pct"/>
            <w:vAlign w:val="center"/>
          </w:tcPr>
          <w:p w:rsidR="00C72DBD" w:rsidRDefault="00FC0A09">
            <w:pPr>
              <w:widowControl/>
              <w:spacing w:line="360" w:lineRule="atLeast"/>
              <w:contextualSpacing/>
              <w:jc w:val="center"/>
              <w:rPr>
                <w:color w:val="000000"/>
                <w:kern w:val="0"/>
                <w:sz w:val="24"/>
              </w:rPr>
            </w:pPr>
            <w:r>
              <w:rPr>
                <w:color w:val="000000"/>
                <w:kern w:val="0"/>
                <w:sz w:val="24"/>
              </w:rPr>
              <w:t>1</w:t>
            </w:r>
          </w:p>
        </w:tc>
      </w:tr>
      <w:tr w:rsidR="00C72DBD">
        <w:trPr>
          <w:trHeight w:val="454"/>
          <w:jc w:val="center"/>
        </w:trPr>
        <w:tc>
          <w:tcPr>
            <w:tcW w:w="450" w:type="pct"/>
            <w:vAlign w:val="center"/>
          </w:tcPr>
          <w:p w:rsidR="00C72DBD" w:rsidRDefault="00FC0A09">
            <w:pPr>
              <w:widowControl/>
              <w:spacing w:line="360" w:lineRule="atLeast"/>
              <w:contextualSpacing/>
              <w:jc w:val="center"/>
              <w:rPr>
                <w:color w:val="000000"/>
                <w:kern w:val="0"/>
                <w:sz w:val="24"/>
              </w:rPr>
            </w:pPr>
            <w:r>
              <w:rPr>
                <w:color w:val="000000"/>
                <w:kern w:val="0"/>
                <w:sz w:val="24"/>
              </w:rPr>
              <w:t>21</w:t>
            </w:r>
          </w:p>
        </w:tc>
        <w:tc>
          <w:tcPr>
            <w:tcW w:w="778" w:type="pct"/>
            <w:gridSpan w:val="2"/>
            <w:vMerge/>
            <w:vAlign w:val="center"/>
          </w:tcPr>
          <w:p w:rsidR="00C72DBD" w:rsidRDefault="00C72DBD">
            <w:pPr>
              <w:widowControl/>
              <w:spacing w:line="360" w:lineRule="atLeast"/>
              <w:contextualSpacing/>
              <w:jc w:val="center"/>
              <w:rPr>
                <w:color w:val="000000"/>
                <w:kern w:val="0"/>
                <w:sz w:val="24"/>
              </w:rPr>
            </w:pPr>
          </w:p>
        </w:tc>
        <w:tc>
          <w:tcPr>
            <w:tcW w:w="1859" w:type="pct"/>
            <w:vAlign w:val="center"/>
          </w:tcPr>
          <w:p w:rsidR="00C72DBD" w:rsidRDefault="00FC0A09">
            <w:pPr>
              <w:widowControl/>
              <w:spacing w:line="360" w:lineRule="atLeast"/>
              <w:contextualSpacing/>
              <w:jc w:val="left"/>
              <w:rPr>
                <w:color w:val="000000"/>
                <w:kern w:val="0"/>
                <w:sz w:val="24"/>
              </w:rPr>
            </w:pPr>
            <w:r>
              <w:rPr>
                <w:color w:val="000000"/>
                <w:kern w:val="0"/>
                <w:sz w:val="24"/>
              </w:rPr>
              <w:t>吨钢氨氮排放量</w:t>
            </w:r>
          </w:p>
        </w:tc>
        <w:tc>
          <w:tcPr>
            <w:tcW w:w="625" w:type="pct"/>
            <w:vAlign w:val="center"/>
          </w:tcPr>
          <w:p w:rsidR="00C72DBD" w:rsidRDefault="00FC0A09">
            <w:pPr>
              <w:widowControl/>
              <w:spacing w:line="360" w:lineRule="atLeast"/>
              <w:contextualSpacing/>
              <w:jc w:val="center"/>
              <w:rPr>
                <w:color w:val="000000"/>
                <w:kern w:val="0"/>
                <w:sz w:val="24"/>
              </w:rPr>
            </w:pPr>
            <w:r>
              <w:rPr>
                <w:color w:val="000000"/>
                <w:kern w:val="0"/>
                <w:sz w:val="24"/>
              </w:rPr>
              <w:t>kg/t</w:t>
            </w:r>
          </w:p>
        </w:tc>
        <w:tc>
          <w:tcPr>
            <w:tcW w:w="722" w:type="pct"/>
            <w:vAlign w:val="center"/>
          </w:tcPr>
          <w:p w:rsidR="00C72DBD" w:rsidRDefault="00FC0A09">
            <w:pPr>
              <w:widowControl/>
              <w:spacing w:line="360" w:lineRule="atLeast"/>
              <w:contextualSpacing/>
              <w:jc w:val="center"/>
              <w:rPr>
                <w:color w:val="000000"/>
                <w:kern w:val="0"/>
                <w:sz w:val="24"/>
              </w:rPr>
            </w:pPr>
            <w:r>
              <w:rPr>
                <w:color w:val="000000"/>
                <w:kern w:val="0"/>
                <w:sz w:val="24"/>
              </w:rPr>
              <w:t>0</w:t>
            </w:r>
          </w:p>
        </w:tc>
        <w:tc>
          <w:tcPr>
            <w:tcW w:w="562" w:type="pct"/>
            <w:vAlign w:val="center"/>
          </w:tcPr>
          <w:p w:rsidR="00C72DBD" w:rsidRDefault="00FC0A09">
            <w:pPr>
              <w:widowControl/>
              <w:spacing w:line="360" w:lineRule="atLeast"/>
              <w:contextualSpacing/>
              <w:jc w:val="center"/>
              <w:rPr>
                <w:color w:val="000000"/>
                <w:kern w:val="0"/>
                <w:sz w:val="24"/>
              </w:rPr>
            </w:pPr>
            <w:r>
              <w:rPr>
                <w:color w:val="000000"/>
                <w:kern w:val="0"/>
                <w:sz w:val="24"/>
              </w:rPr>
              <w:t>1</w:t>
            </w:r>
          </w:p>
        </w:tc>
      </w:tr>
      <w:tr w:rsidR="00C72DBD">
        <w:trPr>
          <w:trHeight w:val="454"/>
          <w:jc w:val="center"/>
        </w:trPr>
        <w:tc>
          <w:tcPr>
            <w:tcW w:w="450" w:type="pct"/>
            <w:vAlign w:val="center"/>
          </w:tcPr>
          <w:p w:rsidR="00C72DBD" w:rsidRDefault="00FC0A09">
            <w:pPr>
              <w:widowControl/>
              <w:spacing w:line="360" w:lineRule="atLeast"/>
              <w:contextualSpacing/>
              <w:jc w:val="center"/>
              <w:rPr>
                <w:color w:val="000000"/>
                <w:kern w:val="0"/>
                <w:sz w:val="24"/>
              </w:rPr>
            </w:pPr>
            <w:r>
              <w:rPr>
                <w:color w:val="000000"/>
                <w:kern w:val="0"/>
                <w:sz w:val="24"/>
              </w:rPr>
              <w:t>22</w:t>
            </w:r>
          </w:p>
        </w:tc>
        <w:tc>
          <w:tcPr>
            <w:tcW w:w="778" w:type="pct"/>
            <w:gridSpan w:val="2"/>
            <w:vMerge/>
            <w:vAlign w:val="center"/>
          </w:tcPr>
          <w:p w:rsidR="00C72DBD" w:rsidRDefault="00C72DBD">
            <w:pPr>
              <w:widowControl/>
              <w:spacing w:line="360" w:lineRule="atLeast"/>
              <w:contextualSpacing/>
              <w:jc w:val="center"/>
              <w:rPr>
                <w:color w:val="000000"/>
                <w:kern w:val="0"/>
                <w:sz w:val="24"/>
              </w:rPr>
            </w:pPr>
          </w:p>
        </w:tc>
        <w:tc>
          <w:tcPr>
            <w:tcW w:w="1859" w:type="pct"/>
            <w:vAlign w:val="center"/>
          </w:tcPr>
          <w:p w:rsidR="00C72DBD" w:rsidRDefault="00FC0A09">
            <w:pPr>
              <w:widowControl/>
              <w:spacing w:line="360" w:lineRule="atLeast"/>
              <w:contextualSpacing/>
              <w:jc w:val="left"/>
              <w:rPr>
                <w:color w:val="000000"/>
                <w:kern w:val="0"/>
                <w:sz w:val="24"/>
              </w:rPr>
            </w:pPr>
            <w:r>
              <w:rPr>
                <w:color w:val="000000"/>
                <w:kern w:val="0"/>
                <w:sz w:val="24"/>
              </w:rPr>
              <w:t>雨污分流</w:t>
            </w:r>
          </w:p>
        </w:tc>
        <w:tc>
          <w:tcPr>
            <w:tcW w:w="625" w:type="pct"/>
            <w:vAlign w:val="center"/>
          </w:tcPr>
          <w:p w:rsidR="00C72DBD" w:rsidRDefault="00FC0A09">
            <w:pPr>
              <w:widowControl/>
              <w:spacing w:line="360" w:lineRule="atLeast"/>
              <w:contextualSpacing/>
              <w:jc w:val="center"/>
              <w:rPr>
                <w:color w:val="000000"/>
                <w:kern w:val="0"/>
                <w:sz w:val="24"/>
              </w:rPr>
            </w:pPr>
            <w:r>
              <w:rPr>
                <w:color w:val="000000"/>
                <w:kern w:val="0"/>
                <w:sz w:val="24"/>
              </w:rPr>
              <w:t>—</w:t>
            </w:r>
          </w:p>
        </w:tc>
        <w:tc>
          <w:tcPr>
            <w:tcW w:w="722" w:type="pct"/>
            <w:vAlign w:val="center"/>
          </w:tcPr>
          <w:p w:rsidR="00C72DBD" w:rsidRDefault="00FC0A09">
            <w:pPr>
              <w:widowControl/>
              <w:spacing w:line="360" w:lineRule="atLeast"/>
              <w:contextualSpacing/>
              <w:jc w:val="center"/>
              <w:rPr>
                <w:color w:val="000000"/>
                <w:kern w:val="0"/>
                <w:sz w:val="24"/>
              </w:rPr>
            </w:pPr>
            <w:r>
              <w:rPr>
                <w:color w:val="000000"/>
                <w:kern w:val="0"/>
                <w:sz w:val="24"/>
              </w:rPr>
              <w:t>所有工序均实现雨污分流</w:t>
            </w:r>
          </w:p>
        </w:tc>
        <w:tc>
          <w:tcPr>
            <w:tcW w:w="562" w:type="pct"/>
            <w:vAlign w:val="center"/>
          </w:tcPr>
          <w:p w:rsidR="00C72DBD" w:rsidRDefault="00FC0A09">
            <w:pPr>
              <w:widowControl/>
              <w:spacing w:line="360" w:lineRule="atLeast"/>
              <w:contextualSpacing/>
              <w:jc w:val="center"/>
              <w:rPr>
                <w:color w:val="000000"/>
                <w:kern w:val="0"/>
                <w:sz w:val="24"/>
              </w:rPr>
            </w:pPr>
            <w:r>
              <w:rPr>
                <w:color w:val="000000"/>
                <w:kern w:val="0"/>
                <w:sz w:val="24"/>
              </w:rPr>
              <w:t>2</w:t>
            </w:r>
          </w:p>
        </w:tc>
      </w:tr>
      <w:tr w:rsidR="00C72DBD">
        <w:trPr>
          <w:trHeight w:val="454"/>
          <w:jc w:val="center"/>
        </w:trPr>
        <w:tc>
          <w:tcPr>
            <w:tcW w:w="450" w:type="pct"/>
            <w:tcBorders>
              <w:top w:val="single" w:sz="4" w:space="0" w:color="auto"/>
              <w:left w:val="single" w:sz="4" w:space="0" w:color="auto"/>
              <w:bottom w:val="single" w:sz="4" w:space="0" w:color="auto"/>
              <w:right w:val="single" w:sz="4" w:space="0" w:color="auto"/>
            </w:tcBorders>
            <w:vAlign w:val="center"/>
          </w:tcPr>
          <w:p w:rsidR="00C72DBD" w:rsidRDefault="00FC0A09">
            <w:pPr>
              <w:widowControl/>
              <w:spacing w:line="360" w:lineRule="atLeast"/>
              <w:contextualSpacing/>
              <w:jc w:val="center"/>
              <w:rPr>
                <w:color w:val="000000"/>
                <w:kern w:val="0"/>
                <w:sz w:val="24"/>
              </w:rPr>
            </w:pPr>
            <w:r>
              <w:rPr>
                <w:color w:val="000000"/>
                <w:kern w:val="0"/>
                <w:sz w:val="24"/>
              </w:rPr>
              <w:t>23</w:t>
            </w:r>
          </w:p>
        </w:tc>
        <w:tc>
          <w:tcPr>
            <w:tcW w:w="778" w:type="pct"/>
            <w:gridSpan w:val="2"/>
            <w:vMerge/>
            <w:vAlign w:val="center"/>
          </w:tcPr>
          <w:p w:rsidR="00C72DBD" w:rsidRDefault="00C72DBD">
            <w:pPr>
              <w:widowControl/>
              <w:spacing w:line="360" w:lineRule="atLeast"/>
              <w:contextualSpacing/>
              <w:jc w:val="center"/>
              <w:rPr>
                <w:color w:val="000000"/>
                <w:kern w:val="0"/>
                <w:sz w:val="24"/>
              </w:rPr>
            </w:pPr>
          </w:p>
        </w:tc>
        <w:tc>
          <w:tcPr>
            <w:tcW w:w="1859" w:type="pct"/>
            <w:tcBorders>
              <w:top w:val="single" w:sz="4" w:space="0" w:color="auto"/>
              <w:left w:val="single" w:sz="4" w:space="0" w:color="auto"/>
              <w:bottom w:val="single" w:sz="4" w:space="0" w:color="auto"/>
              <w:right w:val="single" w:sz="4" w:space="0" w:color="auto"/>
            </w:tcBorders>
            <w:vAlign w:val="center"/>
          </w:tcPr>
          <w:p w:rsidR="00C72DBD" w:rsidRDefault="00FC0A09">
            <w:pPr>
              <w:widowControl/>
              <w:spacing w:line="360" w:lineRule="atLeast"/>
              <w:contextualSpacing/>
              <w:jc w:val="left"/>
              <w:rPr>
                <w:color w:val="000000"/>
                <w:kern w:val="0"/>
                <w:sz w:val="24"/>
              </w:rPr>
            </w:pPr>
            <w:r>
              <w:rPr>
                <w:color w:val="000000"/>
                <w:kern w:val="0"/>
                <w:sz w:val="24"/>
              </w:rPr>
              <w:t>吨钢固废产生量</w:t>
            </w:r>
          </w:p>
        </w:tc>
        <w:tc>
          <w:tcPr>
            <w:tcW w:w="625" w:type="pct"/>
            <w:tcBorders>
              <w:top w:val="single" w:sz="4" w:space="0" w:color="auto"/>
              <w:left w:val="single" w:sz="4" w:space="0" w:color="auto"/>
              <w:bottom w:val="single" w:sz="4" w:space="0" w:color="auto"/>
              <w:right w:val="single" w:sz="4" w:space="0" w:color="auto"/>
            </w:tcBorders>
            <w:vAlign w:val="center"/>
          </w:tcPr>
          <w:p w:rsidR="00C72DBD" w:rsidRDefault="00FC0A09">
            <w:pPr>
              <w:widowControl/>
              <w:spacing w:line="360" w:lineRule="atLeast"/>
              <w:contextualSpacing/>
              <w:jc w:val="center"/>
              <w:rPr>
                <w:color w:val="000000"/>
                <w:kern w:val="0"/>
                <w:sz w:val="24"/>
              </w:rPr>
            </w:pPr>
            <w:r>
              <w:rPr>
                <w:color w:val="000000"/>
                <w:kern w:val="0"/>
                <w:sz w:val="24"/>
              </w:rPr>
              <w:t>kg/t</w:t>
            </w:r>
          </w:p>
        </w:tc>
        <w:tc>
          <w:tcPr>
            <w:tcW w:w="722" w:type="pct"/>
            <w:tcBorders>
              <w:top w:val="single" w:sz="4" w:space="0" w:color="auto"/>
              <w:left w:val="single" w:sz="4" w:space="0" w:color="auto"/>
              <w:bottom w:val="single" w:sz="4" w:space="0" w:color="auto"/>
              <w:right w:val="single" w:sz="4" w:space="0" w:color="auto"/>
            </w:tcBorders>
            <w:vAlign w:val="center"/>
          </w:tcPr>
          <w:p w:rsidR="00C72DBD" w:rsidRDefault="00FC0A09">
            <w:pPr>
              <w:widowControl/>
              <w:spacing w:line="360" w:lineRule="atLeast"/>
              <w:contextualSpacing/>
              <w:jc w:val="center"/>
              <w:rPr>
                <w:color w:val="000000"/>
                <w:kern w:val="0"/>
                <w:sz w:val="24"/>
              </w:rPr>
            </w:pPr>
            <w:r>
              <w:rPr>
                <w:rFonts w:hint="eastAsia"/>
                <w:color w:val="000000"/>
                <w:kern w:val="0"/>
                <w:sz w:val="24"/>
              </w:rPr>
              <w:t>566.81</w:t>
            </w:r>
          </w:p>
        </w:tc>
        <w:tc>
          <w:tcPr>
            <w:tcW w:w="562" w:type="pct"/>
            <w:tcBorders>
              <w:top w:val="single" w:sz="4" w:space="0" w:color="auto"/>
              <w:left w:val="single" w:sz="4" w:space="0" w:color="auto"/>
              <w:bottom w:val="single" w:sz="4" w:space="0" w:color="auto"/>
              <w:right w:val="single" w:sz="4" w:space="0" w:color="auto"/>
            </w:tcBorders>
            <w:vAlign w:val="center"/>
          </w:tcPr>
          <w:p w:rsidR="00C72DBD" w:rsidRDefault="00FC0A09">
            <w:pPr>
              <w:widowControl/>
              <w:spacing w:line="360" w:lineRule="atLeast"/>
              <w:contextualSpacing/>
              <w:jc w:val="center"/>
              <w:rPr>
                <w:color w:val="000000"/>
                <w:kern w:val="0"/>
                <w:sz w:val="24"/>
              </w:rPr>
            </w:pPr>
            <w:r>
              <w:rPr>
                <w:rFonts w:hint="eastAsia"/>
                <w:color w:val="000000"/>
                <w:kern w:val="0"/>
                <w:sz w:val="24"/>
              </w:rPr>
              <w:t>1</w:t>
            </w:r>
          </w:p>
        </w:tc>
      </w:tr>
      <w:tr w:rsidR="00C72DBD">
        <w:trPr>
          <w:trHeight w:val="454"/>
          <w:jc w:val="center"/>
        </w:trPr>
        <w:tc>
          <w:tcPr>
            <w:tcW w:w="450" w:type="pct"/>
            <w:vAlign w:val="center"/>
          </w:tcPr>
          <w:p w:rsidR="00C72DBD" w:rsidRDefault="00FC0A09">
            <w:pPr>
              <w:widowControl/>
              <w:spacing w:line="360" w:lineRule="atLeast"/>
              <w:contextualSpacing/>
              <w:jc w:val="center"/>
              <w:rPr>
                <w:color w:val="000000"/>
                <w:kern w:val="0"/>
                <w:sz w:val="24"/>
              </w:rPr>
            </w:pPr>
            <w:r>
              <w:rPr>
                <w:color w:val="000000"/>
                <w:kern w:val="0"/>
                <w:sz w:val="24"/>
              </w:rPr>
              <w:t>24</w:t>
            </w:r>
          </w:p>
        </w:tc>
        <w:tc>
          <w:tcPr>
            <w:tcW w:w="778" w:type="pct"/>
            <w:gridSpan w:val="2"/>
            <w:vMerge/>
            <w:vAlign w:val="center"/>
          </w:tcPr>
          <w:p w:rsidR="00C72DBD" w:rsidRDefault="00C72DBD">
            <w:pPr>
              <w:widowControl/>
              <w:spacing w:line="360" w:lineRule="atLeast"/>
              <w:contextualSpacing/>
              <w:jc w:val="center"/>
              <w:rPr>
                <w:color w:val="000000"/>
                <w:kern w:val="0"/>
                <w:sz w:val="24"/>
              </w:rPr>
            </w:pPr>
          </w:p>
        </w:tc>
        <w:tc>
          <w:tcPr>
            <w:tcW w:w="1859" w:type="pct"/>
            <w:vAlign w:val="center"/>
          </w:tcPr>
          <w:p w:rsidR="00C72DBD" w:rsidRDefault="00FC0A09">
            <w:pPr>
              <w:widowControl/>
              <w:spacing w:line="360" w:lineRule="atLeast"/>
              <w:contextualSpacing/>
              <w:jc w:val="left"/>
              <w:rPr>
                <w:color w:val="000000"/>
                <w:kern w:val="0"/>
                <w:sz w:val="24"/>
              </w:rPr>
            </w:pPr>
            <w:r>
              <w:rPr>
                <w:color w:val="000000"/>
                <w:kern w:val="0"/>
                <w:sz w:val="24"/>
              </w:rPr>
              <w:t>固废返生产利用率</w:t>
            </w:r>
          </w:p>
        </w:tc>
        <w:tc>
          <w:tcPr>
            <w:tcW w:w="625" w:type="pct"/>
            <w:vAlign w:val="center"/>
          </w:tcPr>
          <w:p w:rsidR="00C72DBD" w:rsidRDefault="00FC0A09">
            <w:pPr>
              <w:widowControl/>
              <w:spacing w:line="360" w:lineRule="atLeast"/>
              <w:contextualSpacing/>
              <w:jc w:val="center"/>
              <w:rPr>
                <w:color w:val="000000"/>
                <w:kern w:val="0"/>
                <w:sz w:val="24"/>
              </w:rPr>
            </w:pPr>
            <w:r>
              <w:rPr>
                <w:color w:val="000000"/>
                <w:kern w:val="0"/>
                <w:sz w:val="24"/>
              </w:rPr>
              <w:t>%</w:t>
            </w:r>
          </w:p>
        </w:tc>
        <w:tc>
          <w:tcPr>
            <w:tcW w:w="722" w:type="pct"/>
            <w:vAlign w:val="center"/>
          </w:tcPr>
          <w:p w:rsidR="00C72DBD" w:rsidRDefault="00FC0A09">
            <w:pPr>
              <w:widowControl/>
              <w:spacing w:line="360" w:lineRule="atLeast"/>
              <w:contextualSpacing/>
              <w:jc w:val="center"/>
              <w:rPr>
                <w:color w:val="000000"/>
                <w:kern w:val="0"/>
                <w:sz w:val="24"/>
              </w:rPr>
            </w:pPr>
            <w:r>
              <w:rPr>
                <w:rFonts w:hint="eastAsia"/>
                <w:color w:val="000000"/>
                <w:kern w:val="0"/>
                <w:sz w:val="24"/>
              </w:rPr>
              <w:t>9.4</w:t>
            </w:r>
          </w:p>
        </w:tc>
        <w:tc>
          <w:tcPr>
            <w:tcW w:w="562" w:type="pct"/>
            <w:vAlign w:val="center"/>
          </w:tcPr>
          <w:p w:rsidR="00C72DBD" w:rsidRDefault="00FC0A09">
            <w:pPr>
              <w:widowControl/>
              <w:spacing w:line="360" w:lineRule="atLeast"/>
              <w:contextualSpacing/>
              <w:jc w:val="center"/>
              <w:rPr>
                <w:color w:val="000000"/>
                <w:kern w:val="0"/>
                <w:sz w:val="24"/>
              </w:rPr>
            </w:pPr>
            <w:r>
              <w:rPr>
                <w:rFonts w:hint="eastAsia"/>
                <w:color w:val="000000"/>
                <w:kern w:val="0"/>
                <w:sz w:val="24"/>
              </w:rPr>
              <w:t>0</w:t>
            </w:r>
          </w:p>
        </w:tc>
      </w:tr>
      <w:tr w:rsidR="00C72DBD">
        <w:trPr>
          <w:trHeight w:val="454"/>
          <w:jc w:val="center"/>
        </w:trPr>
        <w:tc>
          <w:tcPr>
            <w:tcW w:w="450" w:type="pct"/>
            <w:vAlign w:val="center"/>
          </w:tcPr>
          <w:p w:rsidR="00C72DBD" w:rsidRDefault="00FC0A09">
            <w:pPr>
              <w:widowControl/>
              <w:spacing w:line="360" w:lineRule="atLeast"/>
              <w:contextualSpacing/>
              <w:jc w:val="center"/>
              <w:rPr>
                <w:color w:val="000000"/>
                <w:kern w:val="0"/>
                <w:sz w:val="24"/>
              </w:rPr>
            </w:pPr>
            <w:r>
              <w:rPr>
                <w:color w:val="000000"/>
                <w:kern w:val="0"/>
                <w:sz w:val="24"/>
              </w:rPr>
              <w:t>25</w:t>
            </w:r>
          </w:p>
        </w:tc>
        <w:tc>
          <w:tcPr>
            <w:tcW w:w="778" w:type="pct"/>
            <w:gridSpan w:val="2"/>
            <w:vMerge/>
            <w:vAlign w:val="center"/>
          </w:tcPr>
          <w:p w:rsidR="00C72DBD" w:rsidRDefault="00C72DBD">
            <w:pPr>
              <w:widowControl/>
              <w:spacing w:line="360" w:lineRule="atLeast"/>
              <w:contextualSpacing/>
              <w:jc w:val="center"/>
              <w:rPr>
                <w:color w:val="000000"/>
                <w:kern w:val="0"/>
                <w:sz w:val="24"/>
              </w:rPr>
            </w:pPr>
          </w:p>
        </w:tc>
        <w:tc>
          <w:tcPr>
            <w:tcW w:w="1859" w:type="pct"/>
            <w:vAlign w:val="center"/>
          </w:tcPr>
          <w:p w:rsidR="00C72DBD" w:rsidRDefault="00FC0A09">
            <w:pPr>
              <w:widowControl/>
              <w:spacing w:line="360" w:lineRule="atLeast"/>
              <w:contextualSpacing/>
              <w:jc w:val="left"/>
              <w:rPr>
                <w:color w:val="000000"/>
                <w:kern w:val="0"/>
                <w:sz w:val="24"/>
              </w:rPr>
            </w:pPr>
            <w:r>
              <w:rPr>
                <w:color w:val="000000"/>
                <w:kern w:val="0"/>
                <w:sz w:val="24"/>
              </w:rPr>
              <w:t>外销固废产品化率</w:t>
            </w:r>
          </w:p>
        </w:tc>
        <w:tc>
          <w:tcPr>
            <w:tcW w:w="625" w:type="pct"/>
            <w:vAlign w:val="center"/>
          </w:tcPr>
          <w:p w:rsidR="00C72DBD" w:rsidRDefault="00FC0A09">
            <w:pPr>
              <w:widowControl/>
              <w:spacing w:line="360" w:lineRule="atLeast"/>
              <w:contextualSpacing/>
              <w:jc w:val="center"/>
              <w:rPr>
                <w:color w:val="000000"/>
                <w:kern w:val="0"/>
                <w:sz w:val="24"/>
              </w:rPr>
            </w:pPr>
            <w:r>
              <w:rPr>
                <w:color w:val="000000"/>
                <w:kern w:val="0"/>
                <w:sz w:val="24"/>
              </w:rPr>
              <w:t>%</w:t>
            </w:r>
          </w:p>
        </w:tc>
        <w:tc>
          <w:tcPr>
            <w:tcW w:w="722" w:type="pct"/>
            <w:vAlign w:val="center"/>
          </w:tcPr>
          <w:p w:rsidR="00C72DBD" w:rsidRDefault="00FC0A09">
            <w:pPr>
              <w:widowControl/>
              <w:spacing w:line="360" w:lineRule="atLeast"/>
              <w:contextualSpacing/>
              <w:jc w:val="center"/>
              <w:rPr>
                <w:color w:val="000000"/>
                <w:kern w:val="0"/>
                <w:sz w:val="24"/>
              </w:rPr>
            </w:pPr>
            <w:r>
              <w:rPr>
                <w:rFonts w:hint="eastAsia"/>
                <w:color w:val="000000"/>
                <w:kern w:val="0"/>
                <w:sz w:val="24"/>
              </w:rPr>
              <w:t>90.6</w:t>
            </w:r>
          </w:p>
        </w:tc>
        <w:tc>
          <w:tcPr>
            <w:tcW w:w="562" w:type="pct"/>
            <w:vAlign w:val="center"/>
          </w:tcPr>
          <w:p w:rsidR="00C72DBD" w:rsidRDefault="00FC0A09">
            <w:pPr>
              <w:widowControl/>
              <w:spacing w:line="360" w:lineRule="atLeast"/>
              <w:contextualSpacing/>
              <w:jc w:val="center"/>
              <w:rPr>
                <w:color w:val="000000"/>
                <w:kern w:val="0"/>
                <w:sz w:val="24"/>
              </w:rPr>
            </w:pPr>
            <w:r>
              <w:rPr>
                <w:rFonts w:hint="eastAsia"/>
                <w:color w:val="000000"/>
                <w:kern w:val="0"/>
                <w:sz w:val="24"/>
              </w:rPr>
              <w:t>1</w:t>
            </w:r>
          </w:p>
        </w:tc>
      </w:tr>
      <w:tr w:rsidR="00C72DBD">
        <w:trPr>
          <w:trHeight w:val="454"/>
          <w:jc w:val="center"/>
        </w:trPr>
        <w:tc>
          <w:tcPr>
            <w:tcW w:w="450" w:type="pct"/>
            <w:vAlign w:val="center"/>
          </w:tcPr>
          <w:p w:rsidR="00C72DBD" w:rsidRDefault="00FC0A09">
            <w:pPr>
              <w:widowControl/>
              <w:spacing w:line="360" w:lineRule="atLeast"/>
              <w:contextualSpacing/>
              <w:jc w:val="center"/>
              <w:rPr>
                <w:kern w:val="0"/>
                <w:sz w:val="24"/>
              </w:rPr>
            </w:pPr>
            <w:r>
              <w:rPr>
                <w:kern w:val="0"/>
                <w:sz w:val="24"/>
              </w:rPr>
              <w:t>26</w:t>
            </w:r>
          </w:p>
        </w:tc>
        <w:tc>
          <w:tcPr>
            <w:tcW w:w="778" w:type="pct"/>
            <w:gridSpan w:val="2"/>
            <w:vMerge/>
            <w:vAlign w:val="center"/>
          </w:tcPr>
          <w:p w:rsidR="00C72DBD" w:rsidRDefault="00C72DBD">
            <w:pPr>
              <w:widowControl/>
              <w:spacing w:line="360" w:lineRule="atLeast"/>
              <w:contextualSpacing/>
              <w:jc w:val="center"/>
              <w:rPr>
                <w:kern w:val="0"/>
                <w:sz w:val="24"/>
              </w:rPr>
            </w:pPr>
          </w:p>
        </w:tc>
        <w:tc>
          <w:tcPr>
            <w:tcW w:w="1859" w:type="pct"/>
            <w:vAlign w:val="center"/>
          </w:tcPr>
          <w:p w:rsidR="00C72DBD" w:rsidRDefault="00FC0A09">
            <w:pPr>
              <w:widowControl/>
              <w:spacing w:line="360" w:lineRule="atLeast"/>
              <w:contextualSpacing/>
              <w:jc w:val="left"/>
              <w:rPr>
                <w:kern w:val="0"/>
                <w:sz w:val="24"/>
              </w:rPr>
            </w:pPr>
            <w:r>
              <w:rPr>
                <w:kern w:val="0"/>
                <w:sz w:val="24"/>
              </w:rPr>
              <w:t>吨钢环保成本</w:t>
            </w:r>
          </w:p>
        </w:tc>
        <w:tc>
          <w:tcPr>
            <w:tcW w:w="625" w:type="pct"/>
            <w:vAlign w:val="center"/>
          </w:tcPr>
          <w:p w:rsidR="00C72DBD" w:rsidRDefault="00FC0A09">
            <w:pPr>
              <w:widowControl/>
              <w:spacing w:line="360" w:lineRule="atLeast"/>
              <w:contextualSpacing/>
              <w:jc w:val="center"/>
              <w:rPr>
                <w:kern w:val="0"/>
                <w:sz w:val="24"/>
              </w:rPr>
            </w:pPr>
            <w:r>
              <w:rPr>
                <w:kern w:val="0"/>
                <w:sz w:val="24"/>
              </w:rPr>
              <w:t>元</w:t>
            </w:r>
            <w:r>
              <w:rPr>
                <w:kern w:val="0"/>
                <w:sz w:val="24"/>
              </w:rPr>
              <w:t>/</w:t>
            </w:r>
            <w:r>
              <w:rPr>
                <w:kern w:val="0"/>
                <w:sz w:val="24"/>
              </w:rPr>
              <w:t>吨</w:t>
            </w:r>
          </w:p>
        </w:tc>
        <w:tc>
          <w:tcPr>
            <w:tcW w:w="722" w:type="pct"/>
            <w:vAlign w:val="center"/>
          </w:tcPr>
          <w:p w:rsidR="00C72DBD" w:rsidRDefault="00FC0A09">
            <w:pPr>
              <w:widowControl/>
              <w:spacing w:line="360" w:lineRule="atLeast"/>
              <w:contextualSpacing/>
              <w:jc w:val="center"/>
              <w:rPr>
                <w:kern w:val="0"/>
                <w:sz w:val="24"/>
              </w:rPr>
            </w:pPr>
            <w:r>
              <w:rPr>
                <w:rFonts w:hint="eastAsia"/>
                <w:kern w:val="0"/>
                <w:sz w:val="24"/>
              </w:rPr>
              <w:t>239.55</w:t>
            </w:r>
          </w:p>
        </w:tc>
        <w:tc>
          <w:tcPr>
            <w:tcW w:w="562" w:type="pct"/>
            <w:vAlign w:val="center"/>
          </w:tcPr>
          <w:p w:rsidR="00C72DBD" w:rsidRDefault="00FC0A09">
            <w:pPr>
              <w:widowControl/>
              <w:spacing w:line="360" w:lineRule="atLeast"/>
              <w:contextualSpacing/>
              <w:jc w:val="center"/>
              <w:rPr>
                <w:kern w:val="0"/>
                <w:sz w:val="24"/>
              </w:rPr>
            </w:pPr>
            <w:r>
              <w:rPr>
                <w:rFonts w:hint="eastAsia"/>
                <w:kern w:val="0"/>
                <w:sz w:val="24"/>
              </w:rPr>
              <w:t>2</w:t>
            </w:r>
          </w:p>
        </w:tc>
      </w:tr>
      <w:tr w:rsidR="00C72DBD">
        <w:trPr>
          <w:trHeight w:val="454"/>
          <w:jc w:val="center"/>
        </w:trPr>
        <w:tc>
          <w:tcPr>
            <w:tcW w:w="450" w:type="pct"/>
            <w:vAlign w:val="center"/>
          </w:tcPr>
          <w:p w:rsidR="00C72DBD" w:rsidRDefault="00FC0A09">
            <w:pPr>
              <w:widowControl/>
              <w:spacing w:line="360" w:lineRule="atLeast"/>
              <w:contextualSpacing/>
              <w:jc w:val="center"/>
              <w:rPr>
                <w:color w:val="000000"/>
                <w:kern w:val="0"/>
                <w:sz w:val="24"/>
              </w:rPr>
            </w:pPr>
            <w:r>
              <w:rPr>
                <w:color w:val="000000"/>
                <w:kern w:val="0"/>
                <w:sz w:val="24"/>
              </w:rPr>
              <w:t>27</w:t>
            </w:r>
          </w:p>
        </w:tc>
        <w:tc>
          <w:tcPr>
            <w:tcW w:w="778" w:type="pct"/>
            <w:gridSpan w:val="2"/>
            <w:vMerge/>
            <w:vAlign w:val="center"/>
          </w:tcPr>
          <w:p w:rsidR="00C72DBD" w:rsidRDefault="00C72DBD">
            <w:pPr>
              <w:widowControl/>
              <w:spacing w:line="360" w:lineRule="atLeast"/>
              <w:contextualSpacing/>
              <w:jc w:val="center"/>
              <w:rPr>
                <w:color w:val="000000"/>
                <w:kern w:val="0"/>
                <w:sz w:val="24"/>
              </w:rPr>
            </w:pPr>
          </w:p>
        </w:tc>
        <w:tc>
          <w:tcPr>
            <w:tcW w:w="1859" w:type="pct"/>
            <w:vAlign w:val="center"/>
          </w:tcPr>
          <w:p w:rsidR="00C72DBD" w:rsidRDefault="00FC0A09">
            <w:pPr>
              <w:widowControl/>
              <w:spacing w:line="360" w:lineRule="atLeast"/>
              <w:contextualSpacing/>
              <w:jc w:val="left"/>
              <w:rPr>
                <w:color w:val="000000"/>
                <w:kern w:val="0"/>
                <w:sz w:val="24"/>
              </w:rPr>
            </w:pPr>
            <w:r>
              <w:rPr>
                <w:color w:val="000000"/>
                <w:kern w:val="0"/>
                <w:sz w:val="24"/>
              </w:rPr>
              <w:t>环境信息披露</w:t>
            </w:r>
          </w:p>
        </w:tc>
        <w:tc>
          <w:tcPr>
            <w:tcW w:w="625" w:type="pct"/>
            <w:vAlign w:val="center"/>
          </w:tcPr>
          <w:p w:rsidR="00C72DBD" w:rsidRDefault="00FC0A09">
            <w:pPr>
              <w:widowControl/>
              <w:spacing w:line="360" w:lineRule="atLeast"/>
              <w:contextualSpacing/>
              <w:jc w:val="center"/>
              <w:rPr>
                <w:color w:val="000000"/>
                <w:kern w:val="0"/>
                <w:sz w:val="24"/>
              </w:rPr>
            </w:pPr>
            <w:r>
              <w:rPr>
                <w:color w:val="000000"/>
                <w:kern w:val="0"/>
                <w:sz w:val="24"/>
              </w:rPr>
              <w:t>—</w:t>
            </w:r>
          </w:p>
        </w:tc>
        <w:tc>
          <w:tcPr>
            <w:tcW w:w="722" w:type="pct"/>
            <w:vAlign w:val="center"/>
          </w:tcPr>
          <w:p w:rsidR="00C72DBD" w:rsidRDefault="00FC0A09">
            <w:pPr>
              <w:widowControl/>
              <w:spacing w:line="360" w:lineRule="atLeast"/>
              <w:contextualSpacing/>
              <w:jc w:val="center"/>
              <w:rPr>
                <w:color w:val="000000"/>
                <w:kern w:val="0"/>
                <w:sz w:val="24"/>
              </w:rPr>
            </w:pPr>
            <w:r>
              <w:rPr>
                <w:color w:val="000000"/>
                <w:kern w:val="0"/>
                <w:sz w:val="24"/>
              </w:rPr>
              <w:t>符合</w:t>
            </w:r>
          </w:p>
        </w:tc>
        <w:tc>
          <w:tcPr>
            <w:tcW w:w="562" w:type="pct"/>
            <w:vAlign w:val="center"/>
          </w:tcPr>
          <w:p w:rsidR="00C72DBD" w:rsidRDefault="00FC0A09">
            <w:pPr>
              <w:widowControl/>
              <w:spacing w:line="360" w:lineRule="atLeast"/>
              <w:contextualSpacing/>
              <w:jc w:val="center"/>
              <w:rPr>
                <w:color w:val="000000"/>
                <w:kern w:val="0"/>
                <w:sz w:val="24"/>
              </w:rPr>
            </w:pPr>
            <w:r>
              <w:rPr>
                <w:color w:val="000000"/>
                <w:kern w:val="0"/>
                <w:sz w:val="24"/>
              </w:rPr>
              <w:t>1</w:t>
            </w:r>
          </w:p>
        </w:tc>
      </w:tr>
      <w:tr w:rsidR="00C72DBD">
        <w:trPr>
          <w:trHeight w:val="454"/>
          <w:jc w:val="center"/>
        </w:trPr>
        <w:tc>
          <w:tcPr>
            <w:tcW w:w="450" w:type="pct"/>
            <w:vAlign w:val="center"/>
          </w:tcPr>
          <w:p w:rsidR="00C72DBD" w:rsidRDefault="00FC0A09">
            <w:pPr>
              <w:widowControl/>
              <w:spacing w:line="360" w:lineRule="atLeast"/>
              <w:contextualSpacing/>
              <w:jc w:val="center"/>
              <w:rPr>
                <w:color w:val="000000"/>
                <w:kern w:val="0"/>
                <w:sz w:val="24"/>
              </w:rPr>
            </w:pPr>
            <w:r>
              <w:rPr>
                <w:color w:val="000000"/>
                <w:kern w:val="0"/>
                <w:sz w:val="24"/>
              </w:rPr>
              <w:t>28</w:t>
            </w:r>
          </w:p>
        </w:tc>
        <w:tc>
          <w:tcPr>
            <w:tcW w:w="778" w:type="pct"/>
            <w:gridSpan w:val="2"/>
            <w:vMerge w:val="restart"/>
            <w:vAlign w:val="center"/>
          </w:tcPr>
          <w:p w:rsidR="00C72DBD" w:rsidRDefault="00FC0A09">
            <w:pPr>
              <w:widowControl/>
              <w:spacing w:line="360" w:lineRule="atLeast"/>
              <w:contextualSpacing/>
              <w:jc w:val="center"/>
              <w:rPr>
                <w:color w:val="000000"/>
                <w:kern w:val="0"/>
                <w:sz w:val="24"/>
              </w:rPr>
            </w:pPr>
            <w:r>
              <w:rPr>
                <w:color w:val="000000"/>
                <w:kern w:val="0"/>
                <w:sz w:val="24"/>
              </w:rPr>
              <w:t>区域环境</w:t>
            </w:r>
          </w:p>
        </w:tc>
        <w:tc>
          <w:tcPr>
            <w:tcW w:w="1859" w:type="pct"/>
            <w:vAlign w:val="center"/>
          </w:tcPr>
          <w:p w:rsidR="00C72DBD" w:rsidRDefault="00FC0A09">
            <w:pPr>
              <w:widowControl/>
              <w:spacing w:line="360" w:lineRule="atLeast"/>
              <w:contextualSpacing/>
              <w:jc w:val="left"/>
              <w:rPr>
                <w:color w:val="000000"/>
                <w:kern w:val="0"/>
                <w:sz w:val="24"/>
              </w:rPr>
            </w:pPr>
            <w:r>
              <w:rPr>
                <w:color w:val="000000"/>
                <w:kern w:val="0"/>
                <w:sz w:val="24"/>
              </w:rPr>
              <w:t>厂区绿化覆盖率</w:t>
            </w:r>
          </w:p>
        </w:tc>
        <w:tc>
          <w:tcPr>
            <w:tcW w:w="625" w:type="pct"/>
            <w:vAlign w:val="center"/>
          </w:tcPr>
          <w:p w:rsidR="00C72DBD" w:rsidRDefault="00FC0A09">
            <w:pPr>
              <w:widowControl/>
              <w:spacing w:line="360" w:lineRule="atLeast"/>
              <w:contextualSpacing/>
              <w:jc w:val="center"/>
              <w:rPr>
                <w:color w:val="000000"/>
                <w:kern w:val="0"/>
                <w:sz w:val="24"/>
              </w:rPr>
            </w:pPr>
            <w:r>
              <w:rPr>
                <w:color w:val="000000"/>
                <w:kern w:val="0"/>
                <w:sz w:val="24"/>
              </w:rPr>
              <w:t>%</w:t>
            </w:r>
          </w:p>
        </w:tc>
        <w:tc>
          <w:tcPr>
            <w:tcW w:w="722" w:type="pct"/>
            <w:vAlign w:val="center"/>
          </w:tcPr>
          <w:p w:rsidR="00C72DBD" w:rsidRDefault="00FC0A09">
            <w:pPr>
              <w:widowControl/>
              <w:spacing w:line="360" w:lineRule="atLeast"/>
              <w:contextualSpacing/>
              <w:jc w:val="center"/>
              <w:rPr>
                <w:color w:val="000000"/>
                <w:kern w:val="0"/>
                <w:sz w:val="24"/>
              </w:rPr>
            </w:pPr>
            <w:r>
              <w:rPr>
                <w:color w:val="000000"/>
                <w:kern w:val="0"/>
                <w:sz w:val="24"/>
              </w:rPr>
              <w:t>3</w:t>
            </w:r>
            <w:r>
              <w:rPr>
                <w:rFonts w:hint="eastAsia"/>
                <w:color w:val="000000"/>
                <w:kern w:val="0"/>
                <w:sz w:val="24"/>
              </w:rPr>
              <w:t>2</w:t>
            </w:r>
          </w:p>
        </w:tc>
        <w:tc>
          <w:tcPr>
            <w:tcW w:w="562" w:type="pct"/>
            <w:vAlign w:val="center"/>
          </w:tcPr>
          <w:p w:rsidR="00C72DBD" w:rsidRDefault="00FC0A09">
            <w:pPr>
              <w:widowControl/>
              <w:spacing w:line="360" w:lineRule="atLeast"/>
              <w:contextualSpacing/>
              <w:jc w:val="center"/>
              <w:rPr>
                <w:color w:val="000000"/>
                <w:kern w:val="0"/>
                <w:sz w:val="24"/>
              </w:rPr>
            </w:pPr>
            <w:r>
              <w:rPr>
                <w:color w:val="000000"/>
                <w:kern w:val="0"/>
                <w:sz w:val="24"/>
              </w:rPr>
              <w:t>2</w:t>
            </w:r>
          </w:p>
        </w:tc>
      </w:tr>
      <w:tr w:rsidR="00C72DBD">
        <w:trPr>
          <w:trHeight w:val="454"/>
          <w:jc w:val="center"/>
        </w:trPr>
        <w:tc>
          <w:tcPr>
            <w:tcW w:w="450" w:type="pct"/>
            <w:vAlign w:val="center"/>
          </w:tcPr>
          <w:p w:rsidR="00C72DBD" w:rsidRDefault="00FC0A09">
            <w:pPr>
              <w:widowControl/>
              <w:spacing w:line="360" w:lineRule="atLeast"/>
              <w:contextualSpacing/>
              <w:jc w:val="center"/>
              <w:rPr>
                <w:color w:val="000000"/>
                <w:kern w:val="0"/>
                <w:sz w:val="24"/>
              </w:rPr>
            </w:pPr>
            <w:r>
              <w:rPr>
                <w:rFonts w:hint="eastAsia"/>
                <w:color w:val="000000"/>
                <w:kern w:val="0"/>
                <w:sz w:val="24"/>
              </w:rPr>
              <w:t>00</w:t>
            </w:r>
            <w:r>
              <w:rPr>
                <w:color w:val="000000"/>
                <w:kern w:val="0"/>
                <w:sz w:val="24"/>
              </w:rPr>
              <w:t>29</w:t>
            </w:r>
          </w:p>
        </w:tc>
        <w:tc>
          <w:tcPr>
            <w:tcW w:w="778" w:type="pct"/>
            <w:gridSpan w:val="2"/>
            <w:vMerge/>
            <w:vAlign w:val="center"/>
          </w:tcPr>
          <w:p w:rsidR="00C72DBD" w:rsidRDefault="00C72DBD">
            <w:pPr>
              <w:widowControl/>
              <w:spacing w:line="360" w:lineRule="atLeast"/>
              <w:contextualSpacing/>
              <w:jc w:val="center"/>
              <w:rPr>
                <w:color w:val="000000"/>
                <w:kern w:val="0"/>
                <w:sz w:val="24"/>
              </w:rPr>
            </w:pPr>
          </w:p>
        </w:tc>
        <w:tc>
          <w:tcPr>
            <w:tcW w:w="1859" w:type="pct"/>
            <w:vAlign w:val="center"/>
          </w:tcPr>
          <w:p w:rsidR="00C72DBD" w:rsidRDefault="00FC0A09">
            <w:pPr>
              <w:widowControl/>
              <w:spacing w:line="360" w:lineRule="atLeast"/>
              <w:contextualSpacing/>
              <w:jc w:val="left"/>
              <w:rPr>
                <w:color w:val="000000"/>
                <w:kern w:val="0"/>
                <w:sz w:val="24"/>
              </w:rPr>
            </w:pPr>
            <w:r>
              <w:rPr>
                <w:color w:val="000000"/>
                <w:kern w:val="0"/>
                <w:sz w:val="24"/>
              </w:rPr>
              <w:t>厂区大气降尘量</w:t>
            </w:r>
          </w:p>
        </w:tc>
        <w:tc>
          <w:tcPr>
            <w:tcW w:w="625" w:type="pct"/>
            <w:vAlign w:val="center"/>
          </w:tcPr>
          <w:p w:rsidR="00C72DBD" w:rsidRDefault="00FC0A09">
            <w:pPr>
              <w:widowControl/>
              <w:spacing w:line="360" w:lineRule="atLeast"/>
              <w:contextualSpacing/>
              <w:jc w:val="center"/>
              <w:rPr>
                <w:color w:val="000000"/>
                <w:kern w:val="0"/>
                <w:sz w:val="24"/>
              </w:rPr>
            </w:pPr>
            <w:r>
              <w:rPr>
                <w:color w:val="000000"/>
                <w:kern w:val="0"/>
                <w:sz w:val="24"/>
              </w:rPr>
              <w:t>吨</w:t>
            </w:r>
            <w:r>
              <w:rPr>
                <w:color w:val="000000"/>
                <w:kern w:val="0"/>
                <w:sz w:val="24"/>
              </w:rPr>
              <w:t>/(</w:t>
            </w:r>
            <w:r>
              <w:rPr>
                <w:color w:val="000000"/>
                <w:kern w:val="0"/>
                <w:sz w:val="24"/>
              </w:rPr>
              <w:t>平方公里</w:t>
            </w:r>
            <w:r>
              <w:rPr>
                <w:color w:val="000000"/>
                <w:kern w:val="0"/>
                <w:sz w:val="24"/>
              </w:rPr>
              <w:t>·</w:t>
            </w:r>
            <w:r>
              <w:rPr>
                <w:color w:val="000000"/>
                <w:kern w:val="0"/>
                <w:sz w:val="24"/>
              </w:rPr>
              <w:t>月</w:t>
            </w:r>
            <w:r>
              <w:rPr>
                <w:color w:val="000000"/>
                <w:kern w:val="0"/>
                <w:sz w:val="24"/>
              </w:rPr>
              <w:t>)</w:t>
            </w:r>
          </w:p>
        </w:tc>
        <w:tc>
          <w:tcPr>
            <w:tcW w:w="722" w:type="pct"/>
            <w:vAlign w:val="center"/>
          </w:tcPr>
          <w:p w:rsidR="00C72DBD" w:rsidRDefault="00FC0A09">
            <w:pPr>
              <w:widowControl/>
              <w:spacing w:line="360" w:lineRule="atLeast"/>
              <w:contextualSpacing/>
              <w:jc w:val="center"/>
              <w:rPr>
                <w:color w:val="000000"/>
                <w:kern w:val="0"/>
                <w:sz w:val="24"/>
              </w:rPr>
            </w:pPr>
            <w:r>
              <w:rPr>
                <w:rFonts w:hint="eastAsia"/>
                <w:color w:val="000000"/>
                <w:kern w:val="0"/>
                <w:sz w:val="24"/>
              </w:rPr>
              <w:t>14.88</w:t>
            </w:r>
          </w:p>
        </w:tc>
        <w:tc>
          <w:tcPr>
            <w:tcW w:w="562" w:type="pct"/>
            <w:vAlign w:val="center"/>
          </w:tcPr>
          <w:p w:rsidR="00C72DBD" w:rsidRDefault="00FC0A09">
            <w:pPr>
              <w:widowControl/>
              <w:spacing w:line="360" w:lineRule="atLeast"/>
              <w:contextualSpacing/>
              <w:jc w:val="center"/>
              <w:rPr>
                <w:color w:val="000000"/>
                <w:kern w:val="0"/>
                <w:sz w:val="24"/>
              </w:rPr>
            </w:pPr>
            <w:r>
              <w:rPr>
                <w:rFonts w:hint="eastAsia"/>
                <w:color w:val="000000"/>
                <w:kern w:val="0"/>
                <w:sz w:val="24"/>
              </w:rPr>
              <w:t>1</w:t>
            </w:r>
          </w:p>
        </w:tc>
      </w:tr>
      <w:tr w:rsidR="00C72DBD">
        <w:trPr>
          <w:trHeight w:val="454"/>
          <w:jc w:val="center"/>
        </w:trPr>
        <w:tc>
          <w:tcPr>
            <w:tcW w:w="450" w:type="pct"/>
            <w:vAlign w:val="center"/>
          </w:tcPr>
          <w:p w:rsidR="00C72DBD" w:rsidRDefault="00FC0A09">
            <w:pPr>
              <w:widowControl/>
              <w:spacing w:line="360" w:lineRule="atLeast"/>
              <w:contextualSpacing/>
              <w:jc w:val="center"/>
              <w:rPr>
                <w:color w:val="000000"/>
                <w:kern w:val="0"/>
                <w:sz w:val="24"/>
              </w:rPr>
            </w:pPr>
            <w:r>
              <w:rPr>
                <w:color w:val="000000"/>
                <w:kern w:val="0"/>
                <w:sz w:val="24"/>
              </w:rPr>
              <w:t>30</w:t>
            </w:r>
          </w:p>
        </w:tc>
        <w:tc>
          <w:tcPr>
            <w:tcW w:w="778" w:type="pct"/>
            <w:gridSpan w:val="2"/>
            <w:vMerge/>
            <w:vAlign w:val="center"/>
          </w:tcPr>
          <w:p w:rsidR="00C72DBD" w:rsidRDefault="00C72DBD">
            <w:pPr>
              <w:widowControl/>
              <w:spacing w:line="360" w:lineRule="atLeast"/>
              <w:contextualSpacing/>
              <w:jc w:val="center"/>
              <w:rPr>
                <w:color w:val="000000"/>
                <w:kern w:val="0"/>
                <w:sz w:val="24"/>
              </w:rPr>
            </w:pPr>
          </w:p>
        </w:tc>
        <w:tc>
          <w:tcPr>
            <w:tcW w:w="1859" w:type="pct"/>
            <w:vAlign w:val="center"/>
          </w:tcPr>
          <w:p w:rsidR="00C72DBD" w:rsidRDefault="00FC0A09">
            <w:pPr>
              <w:widowControl/>
              <w:spacing w:line="360" w:lineRule="atLeast"/>
              <w:contextualSpacing/>
              <w:jc w:val="left"/>
              <w:rPr>
                <w:color w:val="000000"/>
                <w:kern w:val="0"/>
                <w:sz w:val="24"/>
              </w:rPr>
            </w:pPr>
            <w:r>
              <w:rPr>
                <w:color w:val="000000"/>
                <w:kern w:val="0"/>
                <w:sz w:val="24"/>
              </w:rPr>
              <w:t>厂区与区域环境</w:t>
            </w:r>
            <w:r>
              <w:rPr>
                <w:color w:val="000000"/>
                <w:kern w:val="0"/>
                <w:sz w:val="24"/>
              </w:rPr>
              <w:t>PM</w:t>
            </w:r>
            <w:r>
              <w:rPr>
                <w:color w:val="000000"/>
                <w:kern w:val="0"/>
                <w:sz w:val="24"/>
                <w:vertAlign w:val="subscript"/>
              </w:rPr>
              <w:t>2.5</w:t>
            </w:r>
            <w:r>
              <w:rPr>
                <w:color w:val="000000"/>
                <w:kern w:val="0"/>
                <w:sz w:val="24"/>
              </w:rPr>
              <w:t>比值</w:t>
            </w:r>
          </w:p>
        </w:tc>
        <w:tc>
          <w:tcPr>
            <w:tcW w:w="625" w:type="pct"/>
            <w:vAlign w:val="center"/>
          </w:tcPr>
          <w:p w:rsidR="00C72DBD" w:rsidRDefault="00FC0A09">
            <w:pPr>
              <w:widowControl/>
              <w:spacing w:line="360" w:lineRule="atLeast"/>
              <w:contextualSpacing/>
              <w:jc w:val="center"/>
              <w:rPr>
                <w:color w:val="000000"/>
                <w:kern w:val="0"/>
                <w:sz w:val="24"/>
              </w:rPr>
            </w:pPr>
            <w:r>
              <w:rPr>
                <w:color w:val="000000"/>
                <w:kern w:val="0"/>
                <w:sz w:val="24"/>
              </w:rPr>
              <w:t>—</w:t>
            </w:r>
          </w:p>
        </w:tc>
        <w:tc>
          <w:tcPr>
            <w:tcW w:w="722" w:type="pct"/>
            <w:vAlign w:val="center"/>
          </w:tcPr>
          <w:p w:rsidR="00C72DBD" w:rsidRDefault="00FC0A09">
            <w:pPr>
              <w:widowControl/>
              <w:spacing w:line="360" w:lineRule="atLeast"/>
              <w:contextualSpacing/>
              <w:jc w:val="center"/>
              <w:rPr>
                <w:color w:val="000000"/>
                <w:kern w:val="0"/>
                <w:sz w:val="24"/>
              </w:rPr>
            </w:pPr>
            <w:r>
              <w:rPr>
                <w:rFonts w:hint="eastAsia"/>
                <w:color w:val="000000"/>
                <w:kern w:val="0"/>
                <w:sz w:val="24"/>
              </w:rPr>
              <w:t>1.025</w:t>
            </w:r>
          </w:p>
        </w:tc>
        <w:tc>
          <w:tcPr>
            <w:tcW w:w="562" w:type="pct"/>
            <w:vAlign w:val="center"/>
          </w:tcPr>
          <w:p w:rsidR="00C72DBD" w:rsidRDefault="00FC0A09">
            <w:pPr>
              <w:widowControl/>
              <w:spacing w:line="360" w:lineRule="atLeast"/>
              <w:contextualSpacing/>
              <w:jc w:val="center"/>
              <w:rPr>
                <w:color w:val="000000"/>
                <w:kern w:val="0"/>
                <w:sz w:val="24"/>
              </w:rPr>
            </w:pPr>
            <w:r>
              <w:rPr>
                <w:rFonts w:hint="eastAsia"/>
                <w:color w:val="000000"/>
                <w:kern w:val="0"/>
                <w:sz w:val="24"/>
              </w:rPr>
              <w:t>1</w:t>
            </w:r>
          </w:p>
        </w:tc>
      </w:tr>
      <w:tr w:rsidR="00C72DBD">
        <w:trPr>
          <w:trHeight w:val="454"/>
          <w:jc w:val="center"/>
        </w:trPr>
        <w:tc>
          <w:tcPr>
            <w:tcW w:w="450" w:type="pct"/>
            <w:vAlign w:val="center"/>
          </w:tcPr>
          <w:p w:rsidR="00C72DBD" w:rsidRDefault="00FC0A09">
            <w:pPr>
              <w:widowControl/>
              <w:spacing w:line="360" w:lineRule="atLeast"/>
              <w:contextualSpacing/>
              <w:jc w:val="center"/>
              <w:rPr>
                <w:color w:val="000000"/>
                <w:kern w:val="0"/>
                <w:sz w:val="24"/>
              </w:rPr>
            </w:pPr>
            <w:r>
              <w:rPr>
                <w:color w:val="000000"/>
                <w:kern w:val="0"/>
                <w:sz w:val="24"/>
              </w:rPr>
              <w:t>31</w:t>
            </w:r>
          </w:p>
        </w:tc>
        <w:tc>
          <w:tcPr>
            <w:tcW w:w="778" w:type="pct"/>
            <w:gridSpan w:val="2"/>
            <w:vMerge/>
            <w:vAlign w:val="center"/>
          </w:tcPr>
          <w:p w:rsidR="00C72DBD" w:rsidRDefault="00C72DBD">
            <w:pPr>
              <w:widowControl/>
              <w:spacing w:line="360" w:lineRule="atLeast"/>
              <w:contextualSpacing/>
              <w:jc w:val="center"/>
              <w:rPr>
                <w:color w:val="000000"/>
                <w:kern w:val="0"/>
                <w:sz w:val="24"/>
              </w:rPr>
            </w:pPr>
          </w:p>
        </w:tc>
        <w:tc>
          <w:tcPr>
            <w:tcW w:w="1859" w:type="pct"/>
            <w:vAlign w:val="center"/>
          </w:tcPr>
          <w:p w:rsidR="00C72DBD" w:rsidRDefault="00FC0A09">
            <w:pPr>
              <w:widowControl/>
              <w:spacing w:line="360" w:lineRule="atLeast"/>
              <w:contextualSpacing/>
              <w:jc w:val="left"/>
              <w:rPr>
                <w:color w:val="000000"/>
                <w:kern w:val="0"/>
                <w:sz w:val="24"/>
              </w:rPr>
            </w:pPr>
            <w:r>
              <w:rPr>
                <w:color w:val="000000"/>
                <w:kern w:val="0"/>
                <w:sz w:val="24"/>
              </w:rPr>
              <w:t>厂区</w:t>
            </w:r>
            <w:r>
              <w:rPr>
                <w:color w:val="000000"/>
                <w:kern w:val="0"/>
                <w:sz w:val="24"/>
              </w:rPr>
              <w:t>PM</w:t>
            </w:r>
            <w:r>
              <w:rPr>
                <w:color w:val="000000"/>
                <w:kern w:val="0"/>
                <w:sz w:val="24"/>
                <w:vertAlign w:val="subscript"/>
              </w:rPr>
              <w:t>10</w:t>
            </w:r>
            <w:r>
              <w:rPr>
                <w:color w:val="000000"/>
                <w:kern w:val="0"/>
                <w:sz w:val="24"/>
              </w:rPr>
              <w:t>年均浓度</w:t>
            </w:r>
          </w:p>
        </w:tc>
        <w:tc>
          <w:tcPr>
            <w:tcW w:w="625" w:type="pct"/>
            <w:vAlign w:val="center"/>
          </w:tcPr>
          <w:p w:rsidR="00C72DBD" w:rsidRDefault="00FC0A09">
            <w:pPr>
              <w:widowControl/>
              <w:spacing w:line="360" w:lineRule="atLeast"/>
              <w:contextualSpacing/>
              <w:jc w:val="center"/>
              <w:rPr>
                <w:color w:val="000000"/>
                <w:kern w:val="0"/>
                <w:sz w:val="24"/>
              </w:rPr>
            </w:pPr>
            <w:r>
              <w:rPr>
                <w:color w:val="000000"/>
                <w:kern w:val="0"/>
                <w:sz w:val="24"/>
              </w:rPr>
              <w:t>μg/m</w:t>
            </w:r>
            <w:r>
              <w:rPr>
                <w:color w:val="000000"/>
                <w:kern w:val="0"/>
                <w:sz w:val="24"/>
                <w:vertAlign w:val="superscript"/>
              </w:rPr>
              <w:t>3</w:t>
            </w:r>
          </w:p>
        </w:tc>
        <w:tc>
          <w:tcPr>
            <w:tcW w:w="722" w:type="pct"/>
            <w:vAlign w:val="center"/>
          </w:tcPr>
          <w:p w:rsidR="00C72DBD" w:rsidRDefault="00FC0A09">
            <w:pPr>
              <w:widowControl/>
              <w:spacing w:line="360" w:lineRule="atLeast"/>
              <w:contextualSpacing/>
              <w:jc w:val="center"/>
              <w:rPr>
                <w:color w:val="000000"/>
                <w:kern w:val="0"/>
                <w:sz w:val="24"/>
              </w:rPr>
            </w:pPr>
            <w:r>
              <w:rPr>
                <w:rFonts w:hint="eastAsia"/>
                <w:color w:val="000000"/>
                <w:kern w:val="0"/>
                <w:sz w:val="24"/>
              </w:rPr>
              <w:t>69.51</w:t>
            </w:r>
          </w:p>
        </w:tc>
        <w:tc>
          <w:tcPr>
            <w:tcW w:w="562" w:type="pct"/>
            <w:vAlign w:val="center"/>
          </w:tcPr>
          <w:p w:rsidR="00C72DBD" w:rsidRDefault="00FC0A09">
            <w:pPr>
              <w:widowControl/>
              <w:spacing w:line="360" w:lineRule="atLeast"/>
              <w:contextualSpacing/>
              <w:jc w:val="center"/>
              <w:rPr>
                <w:color w:val="000000"/>
                <w:kern w:val="0"/>
                <w:sz w:val="24"/>
              </w:rPr>
            </w:pPr>
            <w:r>
              <w:rPr>
                <w:rFonts w:hint="eastAsia"/>
                <w:color w:val="000000"/>
                <w:kern w:val="0"/>
                <w:sz w:val="24"/>
              </w:rPr>
              <w:t>1</w:t>
            </w:r>
          </w:p>
        </w:tc>
      </w:tr>
      <w:tr w:rsidR="00C72DBD">
        <w:trPr>
          <w:trHeight w:val="454"/>
          <w:jc w:val="center"/>
        </w:trPr>
        <w:tc>
          <w:tcPr>
            <w:tcW w:w="450" w:type="pct"/>
            <w:vAlign w:val="center"/>
          </w:tcPr>
          <w:p w:rsidR="00C72DBD" w:rsidRDefault="00FC0A09">
            <w:pPr>
              <w:widowControl/>
              <w:spacing w:line="360" w:lineRule="atLeast"/>
              <w:contextualSpacing/>
              <w:jc w:val="center"/>
              <w:rPr>
                <w:color w:val="000000"/>
                <w:kern w:val="0"/>
                <w:sz w:val="24"/>
              </w:rPr>
            </w:pPr>
            <w:r>
              <w:rPr>
                <w:color w:val="000000"/>
                <w:kern w:val="0"/>
                <w:sz w:val="24"/>
              </w:rPr>
              <w:t>32</w:t>
            </w:r>
          </w:p>
        </w:tc>
        <w:tc>
          <w:tcPr>
            <w:tcW w:w="778" w:type="pct"/>
            <w:gridSpan w:val="2"/>
            <w:vMerge w:val="restart"/>
            <w:vAlign w:val="center"/>
          </w:tcPr>
          <w:p w:rsidR="00C72DBD" w:rsidRDefault="00FC0A09">
            <w:pPr>
              <w:widowControl/>
              <w:spacing w:line="360" w:lineRule="atLeast"/>
              <w:contextualSpacing/>
              <w:jc w:val="center"/>
              <w:rPr>
                <w:color w:val="000000"/>
                <w:kern w:val="0"/>
                <w:sz w:val="24"/>
                <w:highlight w:val="yellow"/>
              </w:rPr>
            </w:pPr>
            <w:r>
              <w:rPr>
                <w:color w:val="000000"/>
                <w:kern w:val="0"/>
                <w:sz w:val="24"/>
              </w:rPr>
              <w:t>管理质量</w:t>
            </w:r>
          </w:p>
        </w:tc>
        <w:tc>
          <w:tcPr>
            <w:tcW w:w="1859" w:type="pct"/>
            <w:vAlign w:val="center"/>
          </w:tcPr>
          <w:p w:rsidR="00C72DBD" w:rsidRDefault="00FC0A09">
            <w:pPr>
              <w:widowControl/>
              <w:spacing w:line="360" w:lineRule="atLeast"/>
              <w:contextualSpacing/>
              <w:jc w:val="left"/>
              <w:rPr>
                <w:color w:val="000000"/>
                <w:kern w:val="0"/>
                <w:sz w:val="24"/>
              </w:rPr>
            </w:pPr>
            <w:r>
              <w:rPr>
                <w:color w:val="000000"/>
                <w:kern w:val="0"/>
                <w:sz w:val="24"/>
              </w:rPr>
              <w:t>主业从业人员人均产钢量</w:t>
            </w:r>
          </w:p>
        </w:tc>
        <w:tc>
          <w:tcPr>
            <w:tcW w:w="625" w:type="pct"/>
            <w:vAlign w:val="center"/>
          </w:tcPr>
          <w:p w:rsidR="00C72DBD" w:rsidRDefault="00FC0A09">
            <w:pPr>
              <w:widowControl/>
              <w:spacing w:line="360" w:lineRule="atLeast"/>
              <w:contextualSpacing/>
              <w:jc w:val="center"/>
              <w:rPr>
                <w:color w:val="000000"/>
                <w:kern w:val="0"/>
                <w:sz w:val="24"/>
              </w:rPr>
            </w:pPr>
            <w:r>
              <w:rPr>
                <w:color w:val="000000"/>
                <w:kern w:val="0"/>
                <w:sz w:val="24"/>
              </w:rPr>
              <w:t>吨</w:t>
            </w:r>
            <w:r>
              <w:rPr>
                <w:color w:val="000000"/>
                <w:kern w:val="0"/>
                <w:sz w:val="24"/>
              </w:rPr>
              <w:t>/</w:t>
            </w:r>
            <w:r>
              <w:rPr>
                <w:color w:val="000000"/>
                <w:kern w:val="0"/>
                <w:sz w:val="24"/>
              </w:rPr>
              <w:t>人</w:t>
            </w:r>
          </w:p>
        </w:tc>
        <w:tc>
          <w:tcPr>
            <w:tcW w:w="722" w:type="pct"/>
            <w:vAlign w:val="center"/>
          </w:tcPr>
          <w:p w:rsidR="00C72DBD" w:rsidRDefault="00FC0A09">
            <w:pPr>
              <w:widowControl/>
              <w:spacing w:line="360" w:lineRule="atLeast"/>
              <w:contextualSpacing/>
              <w:jc w:val="center"/>
              <w:rPr>
                <w:color w:val="000000"/>
                <w:kern w:val="0"/>
                <w:sz w:val="24"/>
              </w:rPr>
            </w:pPr>
            <w:r>
              <w:rPr>
                <w:rFonts w:hint="eastAsia"/>
                <w:color w:val="000000"/>
                <w:kern w:val="0"/>
                <w:sz w:val="24"/>
              </w:rPr>
              <w:t>1060.52</w:t>
            </w:r>
          </w:p>
        </w:tc>
        <w:tc>
          <w:tcPr>
            <w:tcW w:w="562" w:type="pct"/>
            <w:vAlign w:val="center"/>
          </w:tcPr>
          <w:p w:rsidR="00C72DBD" w:rsidRDefault="00FC0A09">
            <w:pPr>
              <w:widowControl/>
              <w:spacing w:line="360" w:lineRule="atLeast"/>
              <w:contextualSpacing/>
              <w:jc w:val="center"/>
              <w:rPr>
                <w:color w:val="000000"/>
                <w:kern w:val="0"/>
                <w:sz w:val="24"/>
              </w:rPr>
            </w:pPr>
            <w:r>
              <w:rPr>
                <w:rFonts w:hint="eastAsia"/>
                <w:color w:val="000000"/>
                <w:kern w:val="0"/>
                <w:sz w:val="24"/>
              </w:rPr>
              <w:t>2</w:t>
            </w:r>
          </w:p>
        </w:tc>
      </w:tr>
      <w:tr w:rsidR="00C72DBD">
        <w:trPr>
          <w:trHeight w:val="454"/>
          <w:jc w:val="center"/>
        </w:trPr>
        <w:tc>
          <w:tcPr>
            <w:tcW w:w="450" w:type="pct"/>
            <w:vAlign w:val="center"/>
          </w:tcPr>
          <w:p w:rsidR="00C72DBD" w:rsidRDefault="00FC0A09">
            <w:pPr>
              <w:widowControl/>
              <w:spacing w:line="360" w:lineRule="atLeast"/>
              <w:contextualSpacing/>
              <w:jc w:val="center"/>
              <w:rPr>
                <w:color w:val="000000"/>
                <w:kern w:val="0"/>
                <w:sz w:val="24"/>
              </w:rPr>
            </w:pPr>
            <w:r>
              <w:rPr>
                <w:color w:val="000000"/>
                <w:kern w:val="0"/>
                <w:sz w:val="24"/>
              </w:rPr>
              <w:t>33</w:t>
            </w:r>
          </w:p>
        </w:tc>
        <w:tc>
          <w:tcPr>
            <w:tcW w:w="778" w:type="pct"/>
            <w:gridSpan w:val="2"/>
            <w:vMerge/>
            <w:vAlign w:val="center"/>
          </w:tcPr>
          <w:p w:rsidR="00C72DBD" w:rsidRDefault="00C72DBD">
            <w:pPr>
              <w:spacing w:line="360" w:lineRule="atLeast"/>
              <w:contextualSpacing/>
              <w:jc w:val="center"/>
              <w:rPr>
                <w:color w:val="000000"/>
                <w:kern w:val="0"/>
                <w:sz w:val="24"/>
              </w:rPr>
            </w:pPr>
          </w:p>
        </w:tc>
        <w:tc>
          <w:tcPr>
            <w:tcW w:w="1859" w:type="pct"/>
            <w:vAlign w:val="center"/>
          </w:tcPr>
          <w:p w:rsidR="00C72DBD" w:rsidRDefault="00FC0A09">
            <w:pPr>
              <w:widowControl/>
              <w:spacing w:line="360" w:lineRule="atLeast"/>
              <w:contextualSpacing/>
              <w:jc w:val="left"/>
              <w:rPr>
                <w:color w:val="000000"/>
                <w:kern w:val="0"/>
                <w:sz w:val="24"/>
                <w:vertAlign w:val="superscript"/>
              </w:rPr>
            </w:pPr>
            <w:r>
              <w:rPr>
                <w:color w:val="000000"/>
                <w:kern w:val="0"/>
                <w:sz w:val="24"/>
              </w:rPr>
              <w:t>员工人均生态文明培训时长</w:t>
            </w:r>
            <w:r>
              <w:rPr>
                <w:color w:val="000000"/>
                <w:kern w:val="0"/>
                <w:sz w:val="24"/>
                <w:vertAlign w:val="superscript"/>
              </w:rPr>
              <w:t>1</w:t>
            </w:r>
          </w:p>
        </w:tc>
        <w:tc>
          <w:tcPr>
            <w:tcW w:w="625" w:type="pct"/>
            <w:vAlign w:val="center"/>
          </w:tcPr>
          <w:p w:rsidR="00C72DBD" w:rsidRDefault="00FC0A09">
            <w:pPr>
              <w:widowControl/>
              <w:spacing w:line="360" w:lineRule="atLeast"/>
              <w:contextualSpacing/>
              <w:jc w:val="center"/>
              <w:rPr>
                <w:color w:val="000000"/>
                <w:kern w:val="0"/>
                <w:sz w:val="24"/>
              </w:rPr>
            </w:pPr>
            <w:r>
              <w:rPr>
                <w:color w:val="000000"/>
                <w:kern w:val="0"/>
                <w:sz w:val="24"/>
              </w:rPr>
              <w:t>小时</w:t>
            </w:r>
            <w:r>
              <w:rPr>
                <w:color w:val="000000"/>
                <w:kern w:val="0"/>
                <w:sz w:val="24"/>
              </w:rPr>
              <w:t>/</w:t>
            </w:r>
            <w:r>
              <w:rPr>
                <w:color w:val="000000"/>
                <w:kern w:val="0"/>
                <w:sz w:val="24"/>
              </w:rPr>
              <w:t>人</w:t>
            </w:r>
          </w:p>
        </w:tc>
        <w:tc>
          <w:tcPr>
            <w:tcW w:w="722" w:type="pct"/>
            <w:vAlign w:val="center"/>
          </w:tcPr>
          <w:p w:rsidR="00C72DBD" w:rsidRDefault="00FC0A09">
            <w:pPr>
              <w:widowControl/>
              <w:spacing w:line="360" w:lineRule="atLeast"/>
              <w:contextualSpacing/>
              <w:jc w:val="center"/>
              <w:rPr>
                <w:color w:val="000000"/>
                <w:kern w:val="0"/>
                <w:sz w:val="24"/>
              </w:rPr>
            </w:pPr>
            <w:r>
              <w:rPr>
                <w:rFonts w:hint="eastAsia"/>
                <w:color w:val="000000"/>
                <w:kern w:val="0"/>
                <w:sz w:val="24"/>
              </w:rPr>
              <w:t>36</w:t>
            </w:r>
          </w:p>
        </w:tc>
        <w:tc>
          <w:tcPr>
            <w:tcW w:w="562" w:type="pct"/>
            <w:vAlign w:val="center"/>
          </w:tcPr>
          <w:p w:rsidR="00C72DBD" w:rsidRDefault="00FC0A09">
            <w:pPr>
              <w:widowControl/>
              <w:spacing w:line="360" w:lineRule="atLeast"/>
              <w:contextualSpacing/>
              <w:jc w:val="center"/>
              <w:rPr>
                <w:color w:val="000000"/>
                <w:kern w:val="0"/>
                <w:sz w:val="24"/>
              </w:rPr>
            </w:pPr>
            <w:r>
              <w:rPr>
                <w:rFonts w:hint="eastAsia"/>
                <w:color w:val="000000"/>
                <w:kern w:val="0"/>
                <w:sz w:val="24"/>
              </w:rPr>
              <w:t>1</w:t>
            </w:r>
          </w:p>
        </w:tc>
      </w:tr>
      <w:tr w:rsidR="00C72DBD">
        <w:trPr>
          <w:trHeight w:val="454"/>
          <w:jc w:val="center"/>
        </w:trPr>
        <w:tc>
          <w:tcPr>
            <w:tcW w:w="450" w:type="pct"/>
            <w:vAlign w:val="center"/>
          </w:tcPr>
          <w:p w:rsidR="00C72DBD" w:rsidRDefault="00FC0A09">
            <w:pPr>
              <w:widowControl/>
              <w:spacing w:line="360" w:lineRule="atLeast"/>
              <w:contextualSpacing/>
              <w:jc w:val="center"/>
              <w:rPr>
                <w:color w:val="000000"/>
                <w:kern w:val="0"/>
                <w:sz w:val="24"/>
              </w:rPr>
            </w:pPr>
            <w:r>
              <w:rPr>
                <w:color w:val="000000"/>
                <w:kern w:val="0"/>
                <w:sz w:val="24"/>
              </w:rPr>
              <w:t>34</w:t>
            </w:r>
          </w:p>
        </w:tc>
        <w:tc>
          <w:tcPr>
            <w:tcW w:w="778" w:type="pct"/>
            <w:gridSpan w:val="2"/>
            <w:vMerge/>
            <w:vAlign w:val="center"/>
          </w:tcPr>
          <w:p w:rsidR="00C72DBD" w:rsidRDefault="00C72DBD">
            <w:pPr>
              <w:widowControl/>
              <w:spacing w:line="360" w:lineRule="atLeast"/>
              <w:contextualSpacing/>
              <w:jc w:val="center"/>
              <w:rPr>
                <w:color w:val="000000"/>
                <w:kern w:val="0"/>
                <w:sz w:val="24"/>
              </w:rPr>
            </w:pPr>
          </w:p>
        </w:tc>
        <w:tc>
          <w:tcPr>
            <w:tcW w:w="1859" w:type="pct"/>
            <w:vAlign w:val="center"/>
          </w:tcPr>
          <w:p w:rsidR="00C72DBD" w:rsidRDefault="00FC0A09">
            <w:pPr>
              <w:widowControl/>
              <w:spacing w:line="360" w:lineRule="atLeast"/>
              <w:contextualSpacing/>
              <w:jc w:val="left"/>
              <w:rPr>
                <w:color w:val="000000"/>
                <w:kern w:val="0"/>
                <w:sz w:val="24"/>
              </w:rPr>
            </w:pPr>
            <w:r>
              <w:rPr>
                <w:color w:val="000000"/>
                <w:kern w:val="0"/>
                <w:sz w:val="24"/>
              </w:rPr>
              <w:t>智慧能源管理系统</w:t>
            </w:r>
          </w:p>
        </w:tc>
        <w:tc>
          <w:tcPr>
            <w:tcW w:w="625" w:type="pct"/>
            <w:vAlign w:val="center"/>
          </w:tcPr>
          <w:p w:rsidR="00C72DBD" w:rsidRDefault="00FC0A09">
            <w:pPr>
              <w:widowControl/>
              <w:spacing w:line="360" w:lineRule="atLeast"/>
              <w:contextualSpacing/>
              <w:jc w:val="center"/>
              <w:rPr>
                <w:color w:val="000000"/>
                <w:kern w:val="0"/>
                <w:sz w:val="24"/>
              </w:rPr>
            </w:pPr>
            <w:r>
              <w:rPr>
                <w:color w:val="000000"/>
                <w:kern w:val="0"/>
                <w:sz w:val="24"/>
              </w:rPr>
              <w:t>—</w:t>
            </w:r>
          </w:p>
        </w:tc>
        <w:tc>
          <w:tcPr>
            <w:tcW w:w="722" w:type="pct"/>
            <w:vAlign w:val="center"/>
          </w:tcPr>
          <w:p w:rsidR="00C72DBD" w:rsidRDefault="00FC0A09">
            <w:pPr>
              <w:widowControl/>
              <w:spacing w:line="360" w:lineRule="atLeast"/>
              <w:contextualSpacing/>
              <w:jc w:val="center"/>
              <w:rPr>
                <w:color w:val="000000"/>
                <w:kern w:val="0"/>
                <w:sz w:val="24"/>
              </w:rPr>
            </w:pPr>
            <w:r>
              <w:rPr>
                <w:color w:val="000000"/>
                <w:kern w:val="0"/>
                <w:sz w:val="24"/>
              </w:rPr>
              <w:t>建立智慧能源管理系统及能源管理中心</w:t>
            </w:r>
          </w:p>
        </w:tc>
        <w:tc>
          <w:tcPr>
            <w:tcW w:w="562" w:type="pct"/>
            <w:vAlign w:val="center"/>
          </w:tcPr>
          <w:p w:rsidR="00C72DBD" w:rsidRDefault="00FC0A09">
            <w:pPr>
              <w:widowControl/>
              <w:spacing w:line="360" w:lineRule="atLeast"/>
              <w:contextualSpacing/>
              <w:jc w:val="center"/>
              <w:rPr>
                <w:color w:val="000000"/>
                <w:kern w:val="0"/>
                <w:sz w:val="24"/>
              </w:rPr>
            </w:pPr>
            <w:r>
              <w:rPr>
                <w:rFonts w:hint="eastAsia"/>
                <w:color w:val="000000"/>
                <w:kern w:val="0"/>
                <w:sz w:val="24"/>
              </w:rPr>
              <w:t>2</w:t>
            </w:r>
          </w:p>
        </w:tc>
      </w:tr>
      <w:tr w:rsidR="00C72DBD">
        <w:trPr>
          <w:trHeight w:val="454"/>
          <w:jc w:val="center"/>
        </w:trPr>
        <w:tc>
          <w:tcPr>
            <w:tcW w:w="450" w:type="pct"/>
            <w:vAlign w:val="center"/>
          </w:tcPr>
          <w:p w:rsidR="00C72DBD" w:rsidRDefault="00FC0A09">
            <w:pPr>
              <w:widowControl/>
              <w:spacing w:line="360" w:lineRule="atLeast"/>
              <w:contextualSpacing/>
              <w:jc w:val="center"/>
              <w:rPr>
                <w:color w:val="000000"/>
                <w:kern w:val="0"/>
                <w:sz w:val="24"/>
              </w:rPr>
            </w:pPr>
            <w:r>
              <w:rPr>
                <w:color w:val="000000"/>
                <w:kern w:val="0"/>
                <w:sz w:val="24"/>
              </w:rPr>
              <w:t>35</w:t>
            </w:r>
          </w:p>
        </w:tc>
        <w:tc>
          <w:tcPr>
            <w:tcW w:w="778" w:type="pct"/>
            <w:gridSpan w:val="2"/>
            <w:vMerge/>
            <w:vAlign w:val="center"/>
          </w:tcPr>
          <w:p w:rsidR="00C72DBD" w:rsidRDefault="00C72DBD">
            <w:pPr>
              <w:widowControl/>
              <w:spacing w:line="360" w:lineRule="atLeast"/>
              <w:contextualSpacing/>
              <w:jc w:val="center"/>
              <w:rPr>
                <w:color w:val="000000"/>
                <w:kern w:val="0"/>
                <w:sz w:val="24"/>
              </w:rPr>
            </w:pPr>
          </w:p>
        </w:tc>
        <w:tc>
          <w:tcPr>
            <w:tcW w:w="1859" w:type="pct"/>
            <w:vAlign w:val="center"/>
          </w:tcPr>
          <w:p w:rsidR="00C72DBD" w:rsidRDefault="00FC0A09">
            <w:pPr>
              <w:widowControl/>
              <w:spacing w:line="360" w:lineRule="atLeast"/>
              <w:contextualSpacing/>
              <w:jc w:val="left"/>
              <w:rPr>
                <w:color w:val="000000"/>
                <w:kern w:val="0"/>
                <w:sz w:val="24"/>
              </w:rPr>
            </w:pPr>
            <w:r>
              <w:rPr>
                <w:color w:val="000000"/>
                <w:kern w:val="0"/>
                <w:sz w:val="24"/>
              </w:rPr>
              <w:t>智慧环保管理系统</w:t>
            </w:r>
          </w:p>
        </w:tc>
        <w:tc>
          <w:tcPr>
            <w:tcW w:w="625" w:type="pct"/>
            <w:vAlign w:val="center"/>
          </w:tcPr>
          <w:p w:rsidR="00C72DBD" w:rsidRDefault="00FC0A09">
            <w:pPr>
              <w:widowControl/>
              <w:spacing w:line="360" w:lineRule="atLeast"/>
              <w:contextualSpacing/>
              <w:jc w:val="center"/>
              <w:rPr>
                <w:color w:val="000000"/>
                <w:kern w:val="0"/>
                <w:sz w:val="24"/>
              </w:rPr>
            </w:pPr>
            <w:r>
              <w:rPr>
                <w:color w:val="000000"/>
                <w:kern w:val="0"/>
                <w:sz w:val="24"/>
              </w:rPr>
              <w:t>—</w:t>
            </w:r>
          </w:p>
        </w:tc>
        <w:tc>
          <w:tcPr>
            <w:tcW w:w="722" w:type="pct"/>
            <w:vAlign w:val="center"/>
          </w:tcPr>
          <w:p w:rsidR="00C72DBD" w:rsidRDefault="00FC0A09">
            <w:pPr>
              <w:widowControl/>
              <w:spacing w:line="360" w:lineRule="atLeast"/>
              <w:contextualSpacing/>
              <w:jc w:val="center"/>
              <w:rPr>
                <w:color w:val="000000"/>
                <w:kern w:val="0"/>
                <w:sz w:val="24"/>
              </w:rPr>
            </w:pPr>
            <w:r>
              <w:rPr>
                <w:rFonts w:hint="eastAsia"/>
                <w:color w:val="000000"/>
                <w:kern w:val="0"/>
                <w:sz w:val="24"/>
              </w:rPr>
              <w:t>建立环保管理系统、无组织管控系统、环保管控中心</w:t>
            </w:r>
          </w:p>
        </w:tc>
        <w:tc>
          <w:tcPr>
            <w:tcW w:w="562" w:type="pct"/>
            <w:vAlign w:val="center"/>
          </w:tcPr>
          <w:p w:rsidR="00C72DBD" w:rsidRDefault="00FC0A09">
            <w:pPr>
              <w:widowControl/>
              <w:spacing w:line="360" w:lineRule="atLeast"/>
              <w:contextualSpacing/>
              <w:jc w:val="center"/>
              <w:rPr>
                <w:color w:val="000000"/>
                <w:kern w:val="0"/>
                <w:sz w:val="24"/>
              </w:rPr>
            </w:pPr>
            <w:r>
              <w:rPr>
                <w:rFonts w:hint="eastAsia"/>
                <w:color w:val="000000"/>
                <w:kern w:val="0"/>
                <w:sz w:val="24"/>
              </w:rPr>
              <w:t>2</w:t>
            </w:r>
          </w:p>
        </w:tc>
      </w:tr>
      <w:tr w:rsidR="00C72DBD">
        <w:trPr>
          <w:trHeight w:val="454"/>
          <w:jc w:val="center"/>
        </w:trPr>
        <w:tc>
          <w:tcPr>
            <w:tcW w:w="450" w:type="pct"/>
            <w:vAlign w:val="center"/>
          </w:tcPr>
          <w:p w:rsidR="00C72DBD" w:rsidRDefault="00FC0A09">
            <w:pPr>
              <w:widowControl/>
              <w:spacing w:line="360" w:lineRule="atLeast"/>
              <w:contextualSpacing/>
              <w:jc w:val="center"/>
              <w:rPr>
                <w:color w:val="000000"/>
                <w:kern w:val="0"/>
                <w:sz w:val="24"/>
              </w:rPr>
            </w:pPr>
            <w:r>
              <w:rPr>
                <w:color w:val="000000"/>
                <w:kern w:val="0"/>
                <w:sz w:val="24"/>
              </w:rPr>
              <w:t>36</w:t>
            </w:r>
          </w:p>
        </w:tc>
        <w:tc>
          <w:tcPr>
            <w:tcW w:w="778" w:type="pct"/>
            <w:gridSpan w:val="2"/>
            <w:vMerge w:val="restart"/>
            <w:vAlign w:val="center"/>
          </w:tcPr>
          <w:p w:rsidR="00C72DBD" w:rsidRDefault="00FC0A09">
            <w:pPr>
              <w:widowControl/>
              <w:spacing w:line="360" w:lineRule="atLeast"/>
              <w:contextualSpacing/>
              <w:jc w:val="center"/>
              <w:rPr>
                <w:color w:val="000000"/>
                <w:kern w:val="0"/>
                <w:sz w:val="24"/>
              </w:rPr>
            </w:pPr>
            <w:r>
              <w:rPr>
                <w:color w:val="000000"/>
                <w:kern w:val="0"/>
                <w:sz w:val="24"/>
              </w:rPr>
              <w:t>产品与供应链</w:t>
            </w:r>
          </w:p>
        </w:tc>
        <w:tc>
          <w:tcPr>
            <w:tcW w:w="1859" w:type="pct"/>
            <w:vAlign w:val="center"/>
          </w:tcPr>
          <w:p w:rsidR="00C72DBD" w:rsidRDefault="00FC0A09">
            <w:pPr>
              <w:widowControl/>
              <w:spacing w:line="360" w:lineRule="atLeast"/>
              <w:contextualSpacing/>
              <w:jc w:val="left"/>
              <w:rPr>
                <w:color w:val="000000"/>
                <w:kern w:val="0"/>
                <w:sz w:val="24"/>
              </w:rPr>
            </w:pPr>
            <w:r>
              <w:rPr>
                <w:color w:val="000000"/>
                <w:kern w:val="0"/>
                <w:sz w:val="24"/>
              </w:rPr>
              <w:t>绿色采购</w:t>
            </w:r>
          </w:p>
        </w:tc>
        <w:tc>
          <w:tcPr>
            <w:tcW w:w="625" w:type="pct"/>
            <w:vAlign w:val="center"/>
          </w:tcPr>
          <w:p w:rsidR="00C72DBD" w:rsidRDefault="00FC0A09">
            <w:pPr>
              <w:widowControl/>
              <w:spacing w:line="360" w:lineRule="atLeast"/>
              <w:contextualSpacing/>
              <w:jc w:val="center"/>
              <w:rPr>
                <w:color w:val="FF0000"/>
                <w:kern w:val="0"/>
                <w:sz w:val="24"/>
              </w:rPr>
            </w:pPr>
            <w:r>
              <w:rPr>
                <w:color w:val="000000"/>
                <w:kern w:val="0"/>
                <w:sz w:val="24"/>
              </w:rPr>
              <w:t>—</w:t>
            </w:r>
          </w:p>
        </w:tc>
        <w:tc>
          <w:tcPr>
            <w:tcW w:w="722" w:type="pct"/>
            <w:vAlign w:val="center"/>
          </w:tcPr>
          <w:p w:rsidR="00C72DBD" w:rsidRDefault="00FC0A09">
            <w:pPr>
              <w:widowControl/>
              <w:spacing w:line="360" w:lineRule="atLeast"/>
              <w:contextualSpacing/>
              <w:jc w:val="center"/>
              <w:rPr>
                <w:color w:val="000000"/>
                <w:kern w:val="0"/>
                <w:sz w:val="24"/>
              </w:rPr>
            </w:pPr>
            <w:r>
              <w:rPr>
                <w:color w:val="000000"/>
                <w:kern w:val="0"/>
                <w:sz w:val="24"/>
              </w:rPr>
              <w:t>符合</w:t>
            </w:r>
          </w:p>
        </w:tc>
        <w:tc>
          <w:tcPr>
            <w:tcW w:w="562" w:type="pct"/>
            <w:vAlign w:val="center"/>
          </w:tcPr>
          <w:p w:rsidR="00C72DBD" w:rsidRDefault="00FC0A09">
            <w:pPr>
              <w:widowControl/>
              <w:spacing w:line="360" w:lineRule="atLeast"/>
              <w:contextualSpacing/>
              <w:jc w:val="center"/>
              <w:rPr>
                <w:color w:val="000000"/>
                <w:kern w:val="0"/>
                <w:sz w:val="24"/>
              </w:rPr>
            </w:pPr>
            <w:r>
              <w:rPr>
                <w:color w:val="000000"/>
                <w:kern w:val="0"/>
                <w:sz w:val="24"/>
              </w:rPr>
              <w:t>1</w:t>
            </w:r>
          </w:p>
        </w:tc>
      </w:tr>
      <w:tr w:rsidR="00C72DBD">
        <w:trPr>
          <w:trHeight w:val="454"/>
          <w:jc w:val="center"/>
        </w:trPr>
        <w:tc>
          <w:tcPr>
            <w:tcW w:w="450" w:type="pct"/>
            <w:vAlign w:val="center"/>
          </w:tcPr>
          <w:p w:rsidR="00C72DBD" w:rsidRDefault="00FC0A09">
            <w:pPr>
              <w:widowControl/>
              <w:spacing w:line="360" w:lineRule="atLeast"/>
              <w:contextualSpacing/>
              <w:jc w:val="center"/>
              <w:rPr>
                <w:color w:val="000000"/>
                <w:kern w:val="0"/>
                <w:sz w:val="24"/>
              </w:rPr>
            </w:pPr>
            <w:r>
              <w:rPr>
                <w:color w:val="000000"/>
                <w:kern w:val="0"/>
                <w:sz w:val="24"/>
              </w:rPr>
              <w:t>37</w:t>
            </w:r>
          </w:p>
        </w:tc>
        <w:tc>
          <w:tcPr>
            <w:tcW w:w="778" w:type="pct"/>
            <w:gridSpan w:val="2"/>
            <w:vMerge/>
            <w:vAlign w:val="center"/>
          </w:tcPr>
          <w:p w:rsidR="00C72DBD" w:rsidRDefault="00C72DBD">
            <w:pPr>
              <w:widowControl/>
              <w:spacing w:line="360" w:lineRule="atLeast"/>
              <w:contextualSpacing/>
              <w:jc w:val="center"/>
              <w:rPr>
                <w:color w:val="000000"/>
                <w:kern w:val="0"/>
                <w:sz w:val="24"/>
              </w:rPr>
            </w:pPr>
          </w:p>
        </w:tc>
        <w:tc>
          <w:tcPr>
            <w:tcW w:w="1859" w:type="pct"/>
            <w:vAlign w:val="center"/>
          </w:tcPr>
          <w:p w:rsidR="00C72DBD" w:rsidRDefault="00FC0A09">
            <w:pPr>
              <w:widowControl/>
              <w:spacing w:line="360" w:lineRule="atLeast"/>
              <w:contextualSpacing/>
              <w:jc w:val="left"/>
              <w:rPr>
                <w:color w:val="000000"/>
                <w:kern w:val="0"/>
                <w:sz w:val="24"/>
              </w:rPr>
            </w:pPr>
            <w:r>
              <w:rPr>
                <w:color w:val="000000"/>
                <w:kern w:val="0"/>
                <w:sz w:val="24"/>
              </w:rPr>
              <w:t>产品生态设计</w:t>
            </w:r>
          </w:p>
        </w:tc>
        <w:tc>
          <w:tcPr>
            <w:tcW w:w="625" w:type="pct"/>
            <w:vAlign w:val="center"/>
          </w:tcPr>
          <w:p w:rsidR="00C72DBD" w:rsidRDefault="00FC0A09">
            <w:pPr>
              <w:widowControl/>
              <w:spacing w:line="360" w:lineRule="atLeast"/>
              <w:contextualSpacing/>
              <w:jc w:val="center"/>
              <w:rPr>
                <w:color w:val="000000"/>
                <w:kern w:val="0"/>
                <w:sz w:val="24"/>
              </w:rPr>
            </w:pPr>
            <w:r>
              <w:rPr>
                <w:color w:val="000000"/>
                <w:kern w:val="0"/>
                <w:sz w:val="24"/>
              </w:rPr>
              <w:t>—</w:t>
            </w:r>
          </w:p>
        </w:tc>
        <w:tc>
          <w:tcPr>
            <w:tcW w:w="722" w:type="pct"/>
            <w:vAlign w:val="center"/>
          </w:tcPr>
          <w:p w:rsidR="00C72DBD" w:rsidRDefault="00FC0A09">
            <w:pPr>
              <w:widowControl/>
              <w:spacing w:line="360" w:lineRule="atLeast"/>
              <w:contextualSpacing/>
              <w:jc w:val="center"/>
              <w:rPr>
                <w:color w:val="000000"/>
                <w:kern w:val="0"/>
                <w:sz w:val="24"/>
              </w:rPr>
            </w:pPr>
            <w:r>
              <w:rPr>
                <w:color w:val="000000"/>
                <w:kern w:val="0"/>
                <w:sz w:val="24"/>
              </w:rPr>
              <w:t>符合</w:t>
            </w:r>
          </w:p>
        </w:tc>
        <w:tc>
          <w:tcPr>
            <w:tcW w:w="562" w:type="pct"/>
            <w:vAlign w:val="center"/>
          </w:tcPr>
          <w:p w:rsidR="00C72DBD" w:rsidRDefault="00FC0A09">
            <w:pPr>
              <w:widowControl/>
              <w:spacing w:line="360" w:lineRule="atLeast"/>
              <w:contextualSpacing/>
              <w:jc w:val="center"/>
              <w:rPr>
                <w:color w:val="000000"/>
                <w:kern w:val="0"/>
                <w:sz w:val="24"/>
              </w:rPr>
            </w:pPr>
            <w:r>
              <w:rPr>
                <w:color w:val="000000"/>
                <w:kern w:val="0"/>
                <w:sz w:val="24"/>
              </w:rPr>
              <w:t>2</w:t>
            </w:r>
          </w:p>
        </w:tc>
      </w:tr>
      <w:tr w:rsidR="00C72DBD">
        <w:trPr>
          <w:trHeight w:val="454"/>
          <w:jc w:val="center"/>
        </w:trPr>
        <w:tc>
          <w:tcPr>
            <w:tcW w:w="450" w:type="pct"/>
            <w:vAlign w:val="center"/>
          </w:tcPr>
          <w:p w:rsidR="00C72DBD" w:rsidRDefault="00FC0A09">
            <w:pPr>
              <w:widowControl/>
              <w:spacing w:line="360" w:lineRule="atLeast"/>
              <w:contextualSpacing/>
              <w:jc w:val="center"/>
              <w:rPr>
                <w:color w:val="000000"/>
                <w:kern w:val="0"/>
                <w:sz w:val="24"/>
              </w:rPr>
            </w:pPr>
            <w:r>
              <w:rPr>
                <w:color w:val="000000"/>
                <w:kern w:val="0"/>
                <w:sz w:val="24"/>
              </w:rPr>
              <w:t>38</w:t>
            </w:r>
          </w:p>
        </w:tc>
        <w:tc>
          <w:tcPr>
            <w:tcW w:w="778" w:type="pct"/>
            <w:gridSpan w:val="2"/>
            <w:vMerge/>
            <w:vAlign w:val="center"/>
          </w:tcPr>
          <w:p w:rsidR="00C72DBD" w:rsidRDefault="00C72DBD">
            <w:pPr>
              <w:widowControl/>
              <w:spacing w:line="360" w:lineRule="atLeast"/>
              <w:contextualSpacing/>
              <w:jc w:val="center"/>
              <w:rPr>
                <w:color w:val="000000"/>
                <w:kern w:val="0"/>
                <w:sz w:val="24"/>
              </w:rPr>
            </w:pPr>
          </w:p>
        </w:tc>
        <w:tc>
          <w:tcPr>
            <w:tcW w:w="1859" w:type="pct"/>
            <w:vAlign w:val="center"/>
          </w:tcPr>
          <w:p w:rsidR="00C72DBD" w:rsidRDefault="00FC0A09">
            <w:pPr>
              <w:widowControl/>
              <w:spacing w:line="360" w:lineRule="atLeast"/>
              <w:contextualSpacing/>
              <w:jc w:val="left"/>
              <w:rPr>
                <w:color w:val="000000"/>
                <w:kern w:val="0"/>
                <w:sz w:val="24"/>
              </w:rPr>
            </w:pPr>
            <w:r>
              <w:rPr>
                <w:color w:val="000000"/>
                <w:kern w:val="0"/>
                <w:sz w:val="24"/>
              </w:rPr>
              <w:t>包装材料绿色化</w:t>
            </w:r>
          </w:p>
        </w:tc>
        <w:tc>
          <w:tcPr>
            <w:tcW w:w="625" w:type="pct"/>
            <w:vAlign w:val="center"/>
          </w:tcPr>
          <w:p w:rsidR="00C72DBD" w:rsidRDefault="00FC0A09">
            <w:pPr>
              <w:widowControl/>
              <w:spacing w:line="360" w:lineRule="atLeast"/>
              <w:contextualSpacing/>
              <w:jc w:val="center"/>
              <w:rPr>
                <w:color w:val="000000"/>
                <w:kern w:val="0"/>
                <w:sz w:val="24"/>
              </w:rPr>
            </w:pPr>
            <w:r>
              <w:rPr>
                <w:color w:val="000000"/>
                <w:kern w:val="0"/>
                <w:sz w:val="24"/>
              </w:rPr>
              <w:t>—</w:t>
            </w:r>
          </w:p>
        </w:tc>
        <w:tc>
          <w:tcPr>
            <w:tcW w:w="722" w:type="pct"/>
            <w:vAlign w:val="center"/>
          </w:tcPr>
          <w:p w:rsidR="00C72DBD" w:rsidRDefault="00FC0A09">
            <w:pPr>
              <w:widowControl/>
              <w:spacing w:line="360" w:lineRule="atLeast"/>
              <w:contextualSpacing/>
              <w:jc w:val="center"/>
              <w:rPr>
                <w:color w:val="000000"/>
                <w:kern w:val="0"/>
                <w:sz w:val="24"/>
              </w:rPr>
            </w:pPr>
            <w:r>
              <w:rPr>
                <w:color w:val="000000"/>
                <w:kern w:val="0"/>
                <w:sz w:val="24"/>
              </w:rPr>
              <w:t>符合</w:t>
            </w:r>
          </w:p>
        </w:tc>
        <w:tc>
          <w:tcPr>
            <w:tcW w:w="562" w:type="pct"/>
            <w:vAlign w:val="center"/>
          </w:tcPr>
          <w:p w:rsidR="00C72DBD" w:rsidRDefault="00FC0A09">
            <w:pPr>
              <w:widowControl/>
              <w:spacing w:line="360" w:lineRule="atLeast"/>
              <w:contextualSpacing/>
              <w:jc w:val="center"/>
              <w:rPr>
                <w:color w:val="000000"/>
                <w:kern w:val="0"/>
                <w:sz w:val="24"/>
              </w:rPr>
            </w:pPr>
            <w:r>
              <w:rPr>
                <w:color w:val="000000"/>
                <w:kern w:val="0"/>
                <w:sz w:val="24"/>
              </w:rPr>
              <w:t>1</w:t>
            </w:r>
          </w:p>
        </w:tc>
      </w:tr>
      <w:tr w:rsidR="00C72DBD">
        <w:trPr>
          <w:trHeight w:val="454"/>
          <w:jc w:val="center"/>
        </w:trPr>
        <w:tc>
          <w:tcPr>
            <w:tcW w:w="450" w:type="pct"/>
            <w:vAlign w:val="center"/>
          </w:tcPr>
          <w:p w:rsidR="00C72DBD" w:rsidRDefault="00FC0A09">
            <w:pPr>
              <w:widowControl/>
              <w:spacing w:line="360" w:lineRule="atLeast"/>
              <w:contextualSpacing/>
              <w:jc w:val="center"/>
              <w:rPr>
                <w:color w:val="000000"/>
                <w:kern w:val="0"/>
                <w:sz w:val="24"/>
              </w:rPr>
            </w:pPr>
            <w:r>
              <w:rPr>
                <w:color w:val="000000"/>
                <w:kern w:val="0"/>
                <w:sz w:val="24"/>
              </w:rPr>
              <w:t>39</w:t>
            </w:r>
          </w:p>
        </w:tc>
        <w:tc>
          <w:tcPr>
            <w:tcW w:w="778" w:type="pct"/>
            <w:gridSpan w:val="2"/>
            <w:vMerge/>
            <w:vAlign w:val="center"/>
          </w:tcPr>
          <w:p w:rsidR="00C72DBD" w:rsidRDefault="00C72DBD">
            <w:pPr>
              <w:widowControl/>
              <w:spacing w:line="360" w:lineRule="atLeast"/>
              <w:contextualSpacing/>
              <w:jc w:val="center"/>
              <w:rPr>
                <w:color w:val="000000"/>
                <w:kern w:val="0"/>
                <w:sz w:val="24"/>
              </w:rPr>
            </w:pPr>
          </w:p>
        </w:tc>
        <w:tc>
          <w:tcPr>
            <w:tcW w:w="1859" w:type="pct"/>
            <w:vAlign w:val="center"/>
          </w:tcPr>
          <w:p w:rsidR="00C72DBD" w:rsidRDefault="00FC0A09">
            <w:pPr>
              <w:widowControl/>
              <w:spacing w:line="360" w:lineRule="atLeast"/>
              <w:contextualSpacing/>
              <w:jc w:val="left"/>
              <w:rPr>
                <w:color w:val="000000"/>
                <w:kern w:val="0"/>
                <w:sz w:val="24"/>
              </w:rPr>
            </w:pPr>
            <w:r>
              <w:rPr>
                <w:color w:val="000000"/>
                <w:kern w:val="0"/>
                <w:sz w:val="24"/>
              </w:rPr>
              <w:t>清洁运输比例</w:t>
            </w:r>
          </w:p>
        </w:tc>
        <w:tc>
          <w:tcPr>
            <w:tcW w:w="625" w:type="pct"/>
            <w:vAlign w:val="center"/>
          </w:tcPr>
          <w:p w:rsidR="00C72DBD" w:rsidRDefault="00FC0A09">
            <w:pPr>
              <w:widowControl/>
              <w:spacing w:line="360" w:lineRule="atLeast"/>
              <w:contextualSpacing/>
              <w:jc w:val="center"/>
              <w:rPr>
                <w:color w:val="000000"/>
                <w:kern w:val="0"/>
                <w:sz w:val="24"/>
              </w:rPr>
            </w:pPr>
            <w:r>
              <w:rPr>
                <w:color w:val="000000"/>
                <w:kern w:val="0"/>
                <w:sz w:val="24"/>
              </w:rPr>
              <w:t>%</w:t>
            </w:r>
          </w:p>
        </w:tc>
        <w:tc>
          <w:tcPr>
            <w:tcW w:w="722" w:type="pct"/>
            <w:vAlign w:val="center"/>
          </w:tcPr>
          <w:p w:rsidR="00C72DBD" w:rsidRDefault="00FC0A09">
            <w:pPr>
              <w:widowControl/>
              <w:spacing w:line="360" w:lineRule="atLeast"/>
              <w:contextualSpacing/>
              <w:jc w:val="center"/>
              <w:rPr>
                <w:color w:val="000000"/>
                <w:kern w:val="0"/>
                <w:sz w:val="24"/>
              </w:rPr>
            </w:pPr>
            <w:r>
              <w:rPr>
                <w:color w:val="000000"/>
                <w:kern w:val="0"/>
                <w:sz w:val="24"/>
              </w:rPr>
              <w:t>81</w:t>
            </w:r>
          </w:p>
        </w:tc>
        <w:tc>
          <w:tcPr>
            <w:tcW w:w="562" w:type="pct"/>
            <w:vAlign w:val="center"/>
          </w:tcPr>
          <w:p w:rsidR="00C72DBD" w:rsidRDefault="00FC0A09">
            <w:pPr>
              <w:widowControl/>
              <w:spacing w:line="360" w:lineRule="atLeast"/>
              <w:contextualSpacing/>
              <w:jc w:val="center"/>
              <w:rPr>
                <w:color w:val="000000"/>
                <w:kern w:val="0"/>
                <w:sz w:val="24"/>
              </w:rPr>
            </w:pPr>
            <w:r>
              <w:rPr>
                <w:color w:val="000000"/>
                <w:kern w:val="0"/>
                <w:sz w:val="24"/>
              </w:rPr>
              <w:t>1</w:t>
            </w:r>
          </w:p>
        </w:tc>
      </w:tr>
      <w:tr w:rsidR="00C72DBD">
        <w:trPr>
          <w:trHeight w:val="454"/>
          <w:jc w:val="center"/>
        </w:trPr>
        <w:tc>
          <w:tcPr>
            <w:tcW w:w="450" w:type="pct"/>
            <w:vAlign w:val="center"/>
          </w:tcPr>
          <w:p w:rsidR="00C72DBD" w:rsidRDefault="00FC0A09">
            <w:pPr>
              <w:widowControl/>
              <w:spacing w:line="360" w:lineRule="atLeast"/>
              <w:contextualSpacing/>
              <w:jc w:val="center"/>
              <w:rPr>
                <w:color w:val="000000"/>
                <w:kern w:val="0"/>
                <w:sz w:val="24"/>
              </w:rPr>
            </w:pPr>
            <w:r>
              <w:rPr>
                <w:color w:val="000000"/>
                <w:kern w:val="0"/>
                <w:sz w:val="24"/>
              </w:rPr>
              <w:t>40</w:t>
            </w:r>
          </w:p>
        </w:tc>
        <w:tc>
          <w:tcPr>
            <w:tcW w:w="778" w:type="pct"/>
            <w:gridSpan w:val="2"/>
            <w:vMerge w:val="restart"/>
            <w:vAlign w:val="center"/>
          </w:tcPr>
          <w:p w:rsidR="00C72DBD" w:rsidRDefault="00FC0A09">
            <w:pPr>
              <w:widowControl/>
              <w:spacing w:line="360" w:lineRule="atLeast"/>
              <w:contextualSpacing/>
              <w:jc w:val="center"/>
              <w:rPr>
                <w:color w:val="000000"/>
                <w:kern w:val="0"/>
                <w:sz w:val="24"/>
              </w:rPr>
            </w:pPr>
            <w:r>
              <w:rPr>
                <w:color w:val="000000"/>
                <w:kern w:val="0"/>
                <w:sz w:val="24"/>
              </w:rPr>
              <w:t>区域发展贡献</w:t>
            </w:r>
          </w:p>
        </w:tc>
        <w:tc>
          <w:tcPr>
            <w:tcW w:w="1859" w:type="pct"/>
            <w:vAlign w:val="center"/>
          </w:tcPr>
          <w:p w:rsidR="00C72DBD" w:rsidRDefault="00FC0A09">
            <w:pPr>
              <w:widowControl/>
              <w:spacing w:line="360" w:lineRule="atLeast"/>
              <w:contextualSpacing/>
              <w:jc w:val="left"/>
              <w:rPr>
                <w:color w:val="000000"/>
                <w:kern w:val="0"/>
                <w:sz w:val="24"/>
              </w:rPr>
            </w:pPr>
            <w:r>
              <w:rPr>
                <w:color w:val="000000"/>
                <w:kern w:val="0"/>
                <w:sz w:val="24"/>
              </w:rPr>
              <w:t>协助所在城市消纳固体废物</w:t>
            </w:r>
          </w:p>
        </w:tc>
        <w:tc>
          <w:tcPr>
            <w:tcW w:w="625" w:type="pct"/>
            <w:vAlign w:val="center"/>
          </w:tcPr>
          <w:p w:rsidR="00C72DBD" w:rsidRDefault="00FC0A09">
            <w:pPr>
              <w:widowControl/>
              <w:spacing w:line="360" w:lineRule="atLeast"/>
              <w:contextualSpacing/>
              <w:jc w:val="center"/>
              <w:rPr>
                <w:color w:val="000000"/>
                <w:kern w:val="0"/>
                <w:sz w:val="24"/>
              </w:rPr>
            </w:pPr>
            <w:r>
              <w:rPr>
                <w:color w:val="000000"/>
                <w:kern w:val="0"/>
                <w:sz w:val="24"/>
              </w:rPr>
              <w:t>t</w:t>
            </w:r>
          </w:p>
        </w:tc>
        <w:tc>
          <w:tcPr>
            <w:tcW w:w="722" w:type="pct"/>
            <w:vAlign w:val="center"/>
          </w:tcPr>
          <w:p w:rsidR="00C72DBD" w:rsidRDefault="00FC0A09">
            <w:pPr>
              <w:widowControl/>
              <w:spacing w:line="360" w:lineRule="atLeast"/>
              <w:contextualSpacing/>
              <w:jc w:val="center"/>
              <w:rPr>
                <w:color w:val="000000"/>
                <w:kern w:val="0"/>
                <w:sz w:val="24"/>
              </w:rPr>
            </w:pPr>
            <w:r>
              <w:rPr>
                <w:rFonts w:hint="eastAsia"/>
                <w:color w:val="000000"/>
                <w:kern w:val="0"/>
                <w:sz w:val="24"/>
              </w:rPr>
              <w:t>消纳生活区垃圾</w:t>
            </w:r>
          </w:p>
        </w:tc>
        <w:tc>
          <w:tcPr>
            <w:tcW w:w="562" w:type="pct"/>
            <w:vAlign w:val="center"/>
          </w:tcPr>
          <w:p w:rsidR="00C72DBD" w:rsidRDefault="00FC0A09">
            <w:pPr>
              <w:widowControl/>
              <w:spacing w:line="360" w:lineRule="atLeast"/>
              <w:contextualSpacing/>
              <w:jc w:val="center"/>
              <w:rPr>
                <w:color w:val="000000"/>
                <w:kern w:val="0"/>
                <w:sz w:val="24"/>
              </w:rPr>
            </w:pPr>
            <w:r>
              <w:rPr>
                <w:rFonts w:hint="eastAsia"/>
                <w:color w:val="000000"/>
                <w:kern w:val="0"/>
                <w:sz w:val="24"/>
              </w:rPr>
              <w:t>1</w:t>
            </w:r>
          </w:p>
        </w:tc>
      </w:tr>
      <w:tr w:rsidR="00C72DBD">
        <w:trPr>
          <w:trHeight w:val="454"/>
          <w:jc w:val="center"/>
        </w:trPr>
        <w:tc>
          <w:tcPr>
            <w:tcW w:w="450" w:type="pct"/>
            <w:vAlign w:val="center"/>
          </w:tcPr>
          <w:p w:rsidR="00C72DBD" w:rsidRDefault="00FC0A09">
            <w:pPr>
              <w:widowControl/>
              <w:spacing w:line="360" w:lineRule="atLeast"/>
              <w:contextualSpacing/>
              <w:jc w:val="center"/>
              <w:rPr>
                <w:color w:val="000000"/>
                <w:kern w:val="0"/>
                <w:sz w:val="24"/>
              </w:rPr>
            </w:pPr>
            <w:r>
              <w:rPr>
                <w:color w:val="000000"/>
                <w:kern w:val="0"/>
                <w:sz w:val="24"/>
              </w:rPr>
              <w:t>41</w:t>
            </w:r>
          </w:p>
        </w:tc>
        <w:tc>
          <w:tcPr>
            <w:tcW w:w="778" w:type="pct"/>
            <w:gridSpan w:val="2"/>
            <w:vMerge/>
            <w:vAlign w:val="center"/>
          </w:tcPr>
          <w:p w:rsidR="00C72DBD" w:rsidRDefault="00C72DBD">
            <w:pPr>
              <w:widowControl/>
              <w:spacing w:line="360" w:lineRule="atLeast"/>
              <w:contextualSpacing/>
              <w:jc w:val="center"/>
              <w:rPr>
                <w:color w:val="000000"/>
                <w:kern w:val="0"/>
                <w:sz w:val="24"/>
              </w:rPr>
            </w:pPr>
          </w:p>
        </w:tc>
        <w:tc>
          <w:tcPr>
            <w:tcW w:w="1859" w:type="pct"/>
            <w:vAlign w:val="center"/>
          </w:tcPr>
          <w:p w:rsidR="00C72DBD" w:rsidRDefault="00FC0A09">
            <w:pPr>
              <w:widowControl/>
              <w:spacing w:line="360" w:lineRule="atLeast"/>
              <w:contextualSpacing/>
              <w:jc w:val="left"/>
              <w:rPr>
                <w:color w:val="000000"/>
                <w:kern w:val="0"/>
                <w:sz w:val="24"/>
              </w:rPr>
            </w:pPr>
            <w:r>
              <w:rPr>
                <w:color w:val="000000"/>
                <w:kern w:val="0"/>
                <w:sz w:val="24"/>
              </w:rPr>
              <w:t>非常规水资源利用率</w:t>
            </w:r>
          </w:p>
        </w:tc>
        <w:tc>
          <w:tcPr>
            <w:tcW w:w="625" w:type="pct"/>
            <w:vAlign w:val="center"/>
          </w:tcPr>
          <w:p w:rsidR="00C72DBD" w:rsidRDefault="00FC0A09">
            <w:pPr>
              <w:widowControl/>
              <w:spacing w:line="360" w:lineRule="atLeast"/>
              <w:contextualSpacing/>
              <w:jc w:val="center"/>
              <w:rPr>
                <w:color w:val="000000"/>
                <w:kern w:val="0"/>
                <w:sz w:val="24"/>
              </w:rPr>
            </w:pPr>
            <w:r>
              <w:rPr>
                <w:color w:val="000000"/>
                <w:kern w:val="0"/>
                <w:sz w:val="24"/>
              </w:rPr>
              <w:t>%</w:t>
            </w:r>
          </w:p>
        </w:tc>
        <w:tc>
          <w:tcPr>
            <w:tcW w:w="722" w:type="pct"/>
            <w:vAlign w:val="center"/>
          </w:tcPr>
          <w:p w:rsidR="00C72DBD" w:rsidRDefault="00FC0A09">
            <w:pPr>
              <w:widowControl/>
              <w:spacing w:line="360" w:lineRule="atLeast"/>
              <w:contextualSpacing/>
              <w:jc w:val="center"/>
              <w:rPr>
                <w:color w:val="000000"/>
                <w:kern w:val="0"/>
                <w:sz w:val="24"/>
              </w:rPr>
            </w:pPr>
            <w:r>
              <w:rPr>
                <w:rFonts w:hint="eastAsia"/>
                <w:color w:val="000000"/>
                <w:kern w:val="0"/>
                <w:sz w:val="24"/>
              </w:rPr>
              <w:t>10.2</w:t>
            </w:r>
          </w:p>
        </w:tc>
        <w:tc>
          <w:tcPr>
            <w:tcW w:w="562" w:type="pct"/>
            <w:vAlign w:val="center"/>
          </w:tcPr>
          <w:p w:rsidR="00C72DBD" w:rsidRDefault="00FC0A09">
            <w:pPr>
              <w:widowControl/>
              <w:spacing w:line="360" w:lineRule="atLeast"/>
              <w:contextualSpacing/>
              <w:jc w:val="center"/>
              <w:rPr>
                <w:color w:val="000000"/>
                <w:kern w:val="0"/>
                <w:sz w:val="24"/>
              </w:rPr>
            </w:pPr>
            <w:r>
              <w:rPr>
                <w:color w:val="000000"/>
                <w:kern w:val="0"/>
                <w:sz w:val="24"/>
              </w:rPr>
              <w:t>1</w:t>
            </w:r>
          </w:p>
        </w:tc>
      </w:tr>
      <w:tr w:rsidR="00C72DBD">
        <w:trPr>
          <w:trHeight w:val="454"/>
          <w:jc w:val="center"/>
        </w:trPr>
        <w:tc>
          <w:tcPr>
            <w:tcW w:w="450" w:type="pct"/>
            <w:vAlign w:val="center"/>
          </w:tcPr>
          <w:p w:rsidR="00C72DBD" w:rsidRDefault="00FC0A09">
            <w:pPr>
              <w:widowControl/>
              <w:spacing w:line="360" w:lineRule="atLeast"/>
              <w:contextualSpacing/>
              <w:jc w:val="center"/>
              <w:rPr>
                <w:color w:val="000000"/>
                <w:kern w:val="0"/>
                <w:sz w:val="24"/>
              </w:rPr>
            </w:pPr>
            <w:r>
              <w:rPr>
                <w:color w:val="000000"/>
                <w:kern w:val="0"/>
                <w:sz w:val="24"/>
              </w:rPr>
              <w:t>42</w:t>
            </w:r>
          </w:p>
        </w:tc>
        <w:tc>
          <w:tcPr>
            <w:tcW w:w="778" w:type="pct"/>
            <w:gridSpan w:val="2"/>
            <w:vMerge w:val="restart"/>
            <w:vAlign w:val="center"/>
          </w:tcPr>
          <w:p w:rsidR="00C72DBD" w:rsidRDefault="00FC0A09">
            <w:pPr>
              <w:widowControl/>
              <w:spacing w:line="360" w:lineRule="atLeast"/>
              <w:contextualSpacing/>
              <w:jc w:val="center"/>
              <w:rPr>
                <w:color w:val="000000"/>
                <w:kern w:val="0"/>
                <w:sz w:val="24"/>
              </w:rPr>
            </w:pPr>
            <w:r>
              <w:rPr>
                <w:color w:val="000000"/>
                <w:kern w:val="0"/>
                <w:sz w:val="24"/>
              </w:rPr>
              <w:t>应对气候变化</w:t>
            </w:r>
          </w:p>
        </w:tc>
        <w:tc>
          <w:tcPr>
            <w:tcW w:w="1859" w:type="pct"/>
            <w:vAlign w:val="center"/>
          </w:tcPr>
          <w:p w:rsidR="00C72DBD" w:rsidRDefault="00FC0A09">
            <w:pPr>
              <w:widowControl/>
              <w:spacing w:line="360" w:lineRule="atLeast"/>
              <w:contextualSpacing/>
              <w:jc w:val="left"/>
              <w:rPr>
                <w:color w:val="000000"/>
                <w:kern w:val="0"/>
                <w:sz w:val="24"/>
              </w:rPr>
            </w:pPr>
            <w:r>
              <w:rPr>
                <w:color w:val="000000"/>
                <w:kern w:val="0"/>
                <w:sz w:val="24"/>
              </w:rPr>
              <w:t>碳排放管理</w:t>
            </w:r>
          </w:p>
        </w:tc>
        <w:tc>
          <w:tcPr>
            <w:tcW w:w="625" w:type="pct"/>
            <w:vAlign w:val="center"/>
          </w:tcPr>
          <w:p w:rsidR="00C72DBD" w:rsidRDefault="00FC0A09">
            <w:pPr>
              <w:widowControl/>
              <w:spacing w:line="360" w:lineRule="atLeast"/>
              <w:contextualSpacing/>
              <w:jc w:val="center"/>
              <w:rPr>
                <w:color w:val="000000"/>
                <w:kern w:val="0"/>
                <w:sz w:val="24"/>
              </w:rPr>
            </w:pPr>
            <w:r>
              <w:rPr>
                <w:color w:val="000000"/>
                <w:kern w:val="0"/>
                <w:sz w:val="24"/>
              </w:rPr>
              <w:t>—</w:t>
            </w:r>
          </w:p>
        </w:tc>
        <w:tc>
          <w:tcPr>
            <w:tcW w:w="722" w:type="pct"/>
            <w:vAlign w:val="center"/>
          </w:tcPr>
          <w:p w:rsidR="00C72DBD" w:rsidRDefault="00FC0A09">
            <w:pPr>
              <w:widowControl/>
              <w:spacing w:line="360" w:lineRule="atLeast"/>
              <w:contextualSpacing/>
              <w:jc w:val="center"/>
              <w:rPr>
                <w:color w:val="000000"/>
                <w:kern w:val="0"/>
                <w:sz w:val="24"/>
              </w:rPr>
            </w:pPr>
            <w:r>
              <w:rPr>
                <w:color w:val="000000"/>
                <w:kern w:val="0"/>
                <w:sz w:val="24"/>
              </w:rPr>
              <w:t>健全碳排放管理体系和管理制度，制定并实施低碳发展规划</w:t>
            </w:r>
          </w:p>
        </w:tc>
        <w:tc>
          <w:tcPr>
            <w:tcW w:w="562" w:type="pct"/>
            <w:vAlign w:val="center"/>
          </w:tcPr>
          <w:p w:rsidR="00C72DBD" w:rsidRDefault="00FC0A09">
            <w:pPr>
              <w:widowControl/>
              <w:spacing w:line="360" w:lineRule="atLeast"/>
              <w:contextualSpacing/>
              <w:jc w:val="center"/>
              <w:rPr>
                <w:color w:val="000000"/>
                <w:kern w:val="0"/>
                <w:sz w:val="24"/>
              </w:rPr>
            </w:pPr>
            <w:r>
              <w:rPr>
                <w:color w:val="000000"/>
                <w:kern w:val="0"/>
                <w:sz w:val="24"/>
              </w:rPr>
              <w:t>2</w:t>
            </w:r>
          </w:p>
        </w:tc>
      </w:tr>
      <w:tr w:rsidR="00C72DBD">
        <w:trPr>
          <w:trHeight w:val="454"/>
          <w:jc w:val="center"/>
        </w:trPr>
        <w:tc>
          <w:tcPr>
            <w:tcW w:w="450" w:type="pct"/>
            <w:vAlign w:val="center"/>
          </w:tcPr>
          <w:p w:rsidR="00C72DBD" w:rsidRDefault="00FC0A09">
            <w:pPr>
              <w:widowControl/>
              <w:spacing w:line="360" w:lineRule="atLeast"/>
              <w:contextualSpacing/>
              <w:jc w:val="center"/>
              <w:rPr>
                <w:color w:val="000000"/>
                <w:kern w:val="0"/>
                <w:sz w:val="24"/>
              </w:rPr>
            </w:pPr>
            <w:r>
              <w:rPr>
                <w:color w:val="000000"/>
                <w:kern w:val="0"/>
                <w:sz w:val="24"/>
              </w:rPr>
              <w:t>43</w:t>
            </w:r>
          </w:p>
        </w:tc>
        <w:tc>
          <w:tcPr>
            <w:tcW w:w="778" w:type="pct"/>
            <w:gridSpan w:val="2"/>
            <w:vMerge/>
            <w:vAlign w:val="center"/>
          </w:tcPr>
          <w:p w:rsidR="00C72DBD" w:rsidRDefault="00C72DBD">
            <w:pPr>
              <w:widowControl/>
              <w:spacing w:line="360" w:lineRule="atLeast"/>
              <w:contextualSpacing/>
              <w:jc w:val="center"/>
              <w:rPr>
                <w:color w:val="000000"/>
                <w:kern w:val="0"/>
                <w:sz w:val="24"/>
              </w:rPr>
            </w:pPr>
          </w:p>
        </w:tc>
        <w:tc>
          <w:tcPr>
            <w:tcW w:w="1859" w:type="pct"/>
            <w:vAlign w:val="center"/>
          </w:tcPr>
          <w:p w:rsidR="00C72DBD" w:rsidRDefault="00FC0A09">
            <w:pPr>
              <w:widowControl/>
              <w:spacing w:line="360" w:lineRule="atLeast"/>
              <w:contextualSpacing/>
              <w:jc w:val="left"/>
              <w:rPr>
                <w:color w:val="000000"/>
                <w:kern w:val="0"/>
                <w:sz w:val="24"/>
              </w:rPr>
            </w:pPr>
            <w:r>
              <w:rPr>
                <w:color w:val="000000"/>
                <w:kern w:val="0"/>
                <w:sz w:val="24"/>
              </w:rPr>
              <w:t>吨钢二氧化碳排放量</w:t>
            </w:r>
          </w:p>
        </w:tc>
        <w:tc>
          <w:tcPr>
            <w:tcW w:w="625" w:type="pct"/>
            <w:vAlign w:val="center"/>
          </w:tcPr>
          <w:p w:rsidR="00C72DBD" w:rsidRDefault="00FC0A09">
            <w:pPr>
              <w:widowControl/>
              <w:spacing w:line="360" w:lineRule="atLeast"/>
              <w:contextualSpacing/>
              <w:jc w:val="center"/>
              <w:rPr>
                <w:color w:val="000000"/>
                <w:kern w:val="0"/>
                <w:sz w:val="24"/>
              </w:rPr>
            </w:pPr>
            <w:r>
              <w:rPr>
                <w:color w:val="000000"/>
                <w:kern w:val="0"/>
                <w:sz w:val="24"/>
              </w:rPr>
              <w:t>t</w:t>
            </w:r>
            <w:r>
              <w:rPr>
                <w:color w:val="000000"/>
                <w:kern w:val="0"/>
                <w:sz w:val="24"/>
                <w:vertAlign w:val="subscript"/>
              </w:rPr>
              <w:t>CO2</w:t>
            </w:r>
            <w:r>
              <w:rPr>
                <w:color w:val="000000"/>
                <w:kern w:val="0"/>
                <w:sz w:val="24"/>
              </w:rPr>
              <w:t>/t</w:t>
            </w:r>
          </w:p>
        </w:tc>
        <w:tc>
          <w:tcPr>
            <w:tcW w:w="722" w:type="pct"/>
            <w:vAlign w:val="center"/>
          </w:tcPr>
          <w:p w:rsidR="00C72DBD" w:rsidRDefault="00FC0A09">
            <w:pPr>
              <w:widowControl/>
              <w:spacing w:line="360" w:lineRule="atLeast"/>
              <w:contextualSpacing/>
              <w:jc w:val="center"/>
              <w:rPr>
                <w:color w:val="000000"/>
                <w:kern w:val="0"/>
                <w:sz w:val="24"/>
              </w:rPr>
            </w:pPr>
            <w:r>
              <w:rPr>
                <w:color w:val="000000"/>
                <w:kern w:val="0"/>
                <w:sz w:val="24"/>
              </w:rPr>
              <w:t>1.67</w:t>
            </w:r>
          </w:p>
        </w:tc>
        <w:tc>
          <w:tcPr>
            <w:tcW w:w="562" w:type="pct"/>
            <w:vAlign w:val="center"/>
          </w:tcPr>
          <w:p w:rsidR="00C72DBD" w:rsidRDefault="00FC0A09">
            <w:pPr>
              <w:widowControl/>
              <w:spacing w:line="360" w:lineRule="atLeast"/>
              <w:contextualSpacing/>
              <w:jc w:val="center"/>
              <w:rPr>
                <w:color w:val="000000"/>
                <w:kern w:val="0"/>
                <w:sz w:val="24"/>
              </w:rPr>
            </w:pPr>
            <w:r>
              <w:rPr>
                <w:color w:val="000000"/>
                <w:kern w:val="0"/>
                <w:sz w:val="24"/>
              </w:rPr>
              <w:t>2</w:t>
            </w:r>
          </w:p>
        </w:tc>
      </w:tr>
      <w:tr w:rsidR="00C72DBD">
        <w:trPr>
          <w:trHeight w:val="454"/>
          <w:jc w:val="center"/>
        </w:trPr>
        <w:tc>
          <w:tcPr>
            <w:tcW w:w="450" w:type="pct"/>
            <w:vAlign w:val="center"/>
          </w:tcPr>
          <w:p w:rsidR="00C72DBD" w:rsidRDefault="00FC0A09">
            <w:pPr>
              <w:widowControl/>
              <w:spacing w:line="360" w:lineRule="atLeast"/>
              <w:contextualSpacing/>
              <w:jc w:val="center"/>
              <w:rPr>
                <w:color w:val="000000"/>
                <w:kern w:val="0"/>
                <w:sz w:val="24"/>
              </w:rPr>
            </w:pPr>
            <w:r>
              <w:rPr>
                <w:color w:val="000000"/>
                <w:kern w:val="0"/>
                <w:sz w:val="24"/>
              </w:rPr>
              <w:t>44</w:t>
            </w:r>
          </w:p>
        </w:tc>
        <w:tc>
          <w:tcPr>
            <w:tcW w:w="778" w:type="pct"/>
            <w:gridSpan w:val="2"/>
            <w:vMerge/>
            <w:vAlign w:val="center"/>
          </w:tcPr>
          <w:p w:rsidR="00C72DBD" w:rsidRDefault="00C72DBD">
            <w:pPr>
              <w:widowControl/>
              <w:spacing w:line="360" w:lineRule="atLeast"/>
              <w:contextualSpacing/>
              <w:jc w:val="center"/>
              <w:rPr>
                <w:color w:val="000000"/>
                <w:kern w:val="0"/>
                <w:sz w:val="24"/>
              </w:rPr>
            </w:pPr>
          </w:p>
        </w:tc>
        <w:tc>
          <w:tcPr>
            <w:tcW w:w="1859" w:type="pct"/>
            <w:vAlign w:val="center"/>
          </w:tcPr>
          <w:p w:rsidR="00C72DBD" w:rsidRDefault="00FC0A09">
            <w:pPr>
              <w:widowControl/>
              <w:spacing w:line="360" w:lineRule="atLeast"/>
              <w:contextualSpacing/>
              <w:jc w:val="left"/>
              <w:rPr>
                <w:color w:val="000000"/>
                <w:kern w:val="0"/>
                <w:sz w:val="24"/>
              </w:rPr>
            </w:pPr>
            <w:r>
              <w:rPr>
                <w:color w:val="000000"/>
                <w:kern w:val="0"/>
                <w:sz w:val="24"/>
              </w:rPr>
              <w:t>碳配额清缴</w:t>
            </w:r>
          </w:p>
        </w:tc>
        <w:tc>
          <w:tcPr>
            <w:tcW w:w="625" w:type="pct"/>
            <w:vAlign w:val="center"/>
          </w:tcPr>
          <w:p w:rsidR="00C72DBD" w:rsidRDefault="00FC0A09">
            <w:pPr>
              <w:widowControl/>
              <w:spacing w:line="360" w:lineRule="atLeast"/>
              <w:contextualSpacing/>
              <w:jc w:val="center"/>
              <w:rPr>
                <w:color w:val="000000"/>
                <w:kern w:val="0"/>
                <w:sz w:val="24"/>
              </w:rPr>
            </w:pPr>
            <w:r>
              <w:rPr>
                <w:color w:val="000000"/>
                <w:kern w:val="0"/>
                <w:sz w:val="24"/>
              </w:rPr>
              <w:t>—</w:t>
            </w:r>
          </w:p>
        </w:tc>
        <w:tc>
          <w:tcPr>
            <w:tcW w:w="722" w:type="pct"/>
            <w:vAlign w:val="center"/>
          </w:tcPr>
          <w:p w:rsidR="00C72DBD" w:rsidRDefault="00FC0A09">
            <w:pPr>
              <w:widowControl/>
              <w:spacing w:line="360" w:lineRule="atLeast"/>
              <w:contextualSpacing/>
              <w:jc w:val="center"/>
              <w:rPr>
                <w:color w:val="000000"/>
                <w:kern w:val="0"/>
                <w:sz w:val="24"/>
              </w:rPr>
            </w:pPr>
            <w:r>
              <w:rPr>
                <w:rFonts w:hint="eastAsia"/>
                <w:color w:val="000000"/>
                <w:kern w:val="0"/>
                <w:sz w:val="24"/>
              </w:rPr>
              <w:t>符合</w:t>
            </w:r>
          </w:p>
        </w:tc>
        <w:tc>
          <w:tcPr>
            <w:tcW w:w="562" w:type="pct"/>
            <w:vAlign w:val="center"/>
          </w:tcPr>
          <w:p w:rsidR="00C72DBD" w:rsidRDefault="00FC0A09">
            <w:pPr>
              <w:widowControl/>
              <w:spacing w:line="360" w:lineRule="atLeast"/>
              <w:contextualSpacing/>
              <w:jc w:val="center"/>
              <w:rPr>
                <w:color w:val="000000"/>
                <w:kern w:val="0"/>
                <w:sz w:val="24"/>
              </w:rPr>
            </w:pPr>
            <w:r>
              <w:rPr>
                <w:rFonts w:hint="eastAsia"/>
                <w:color w:val="000000"/>
                <w:kern w:val="0"/>
                <w:sz w:val="24"/>
              </w:rPr>
              <w:t>1</w:t>
            </w:r>
          </w:p>
        </w:tc>
      </w:tr>
      <w:tr w:rsidR="00C72DBD">
        <w:trPr>
          <w:trHeight w:val="454"/>
          <w:jc w:val="center"/>
        </w:trPr>
        <w:tc>
          <w:tcPr>
            <w:tcW w:w="450" w:type="pct"/>
            <w:vAlign w:val="center"/>
          </w:tcPr>
          <w:p w:rsidR="00C72DBD" w:rsidRDefault="00FC0A09">
            <w:pPr>
              <w:widowControl/>
              <w:spacing w:line="360" w:lineRule="atLeast"/>
              <w:contextualSpacing/>
              <w:jc w:val="center"/>
              <w:rPr>
                <w:color w:val="000000"/>
                <w:kern w:val="0"/>
                <w:sz w:val="24"/>
              </w:rPr>
            </w:pPr>
            <w:r>
              <w:rPr>
                <w:color w:val="000000"/>
                <w:kern w:val="0"/>
                <w:sz w:val="24"/>
              </w:rPr>
              <w:t>45</w:t>
            </w:r>
          </w:p>
        </w:tc>
        <w:tc>
          <w:tcPr>
            <w:tcW w:w="778" w:type="pct"/>
            <w:gridSpan w:val="2"/>
            <w:vMerge/>
            <w:vAlign w:val="center"/>
          </w:tcPr>
          <w:p w:rsidR="00C72DBD" w:rsidRDefault="00C72DBD">
            <w:pPr>
              <w:widowControl/>
              <w:spacing w:line="360" w:lineRule="atLeast"/>
              <w:contextualSpacing/>
              <w:jc w:val="center"/>
              <w:rPr>
                <w:color w:val="000000"/>
                <w:kern w:val="0"/>
                <w:sz w:val="24"/>
              </w:rPr>
            </w:pPr>
          </w:p>
        </w:tc>
        <w:tc>
          <w:tcPr>
            <w:tcW w:w="1859" w:type="pct"/>
            <w:vAlign w:val="center"/>
          </w:tcPr>
          <w:p w:rsidR="00C72DBD" w:rsidRDefault="00FC0A09">
            <w:pPr>
              <w:widowControl/>
              <w:spacing w:line="360" w:lineRule="atLeast"/>
              <w:contextualSpacing/>
              <w:jc w:val="left"/>
              <w:rPr>
                <w:color w:val="000000"/>
                <w:kern w:val="0"/>
                <w:sz w:val="24"/>
              </w:rPr>
            </w:pPr>
            <w:r>
              <w:rPr>
                <w:color w:val="000000"/>
                <w:kern w:val="0"/>
                <w:sz w:val="24"/>
              </w:rPr>
              <w:t>绿色低碳活动</w:t>
            </w:r>
          </w:p>
        </w:tc>
        <w:tc>
          <w:tcPr>
            <w:tcW w:w="625" w:type="pct"/>
            <w:vAlign w:val="center"/>
          </w:tcPr>
          <w:p w:rsidR="00C72DBD" w:rsidRDefault="00FC0A09">
            <w:pPr>
              <w:widowControl/>
              <w:spacing w:line="360" w:lineRule="atLeast"/>
              <w:contextualSpacing/>
              <w:jc w:val="center"/>
              <w:rPr>
                <w:color w:val="000000"/>
                <w:kern w:val="0"/>
                <w:sz w:val="24"/>
              </w:rPr>
            </w:pPr>
            <w:r>
              <w:rPr>
                <w:color w:val="000000"/>
                <w:kern w:val="0"/>
                <w:sz w:val="24"/>
              </w:rPr>
              <w:t>—</w:t>
            </w:r>
          </w:p>
        </w:tc>
        <w:tc>
          <w:tcPr>
            <w:tcW w:w="722" w:type="pct"/>
            <w:vAlign w:val="center"/>
          </w:tcPr>
          <w:p w:rsidR="00C72DBD" w:rsidRDefault="00FC0A09">
            <w:pPr>
              <w:widowControl/>
              <w:spacing w:line="360" w:lineRule="atLeast"/>
              <w:contextualSpacing/>
              <w:jc w:val="center"/>
              <w:rPr>
                <w:color w:val="000000"/>
                <w:kern w:val="0"/>
                <w:sz w:val="24"/>
              </w:rPr>
            </w:pPr>
            <w:r>
              <w:rPr>
                <w:color w:val="000000"/>
                <w:kern w:val="0"/>
                <w:sz w:val="24"/>
              </w:rPr>
              <w:t>符合</w:t>
            </w:r>
          </w:p>
        </w:tc>
        <w:tc>
          <w:tcPr>
            <w:tcW w:w="562" w:type="pct"/>
            <w:vAlign w:val="center"/>
          </w:tcPr>
          <w:p w:rsidR="00C72DBD" w:rsidRDefault="00FC0A09">
            <w:pPr>
              <w:widowControl/>
              <w:spacing w:line="360" w:lineRule="atLeast"/>
              <w:contextualSpacing/>
              <w:jc w:val="center"/>
              <w:rPr>
                <w:color w:val="000000"/>
                <w:kern w:val="0"/>
                <w:sz w:val="24"/>
              </w:rPr>
            </w:pPr>
            <w:r>
              <w:rPr>
                <w:color w:val="000000"/>
                <w:kern w:val="0"/>
                <w:sz w:val="24"/>
              </w:rPr>
              <w:t>1</w:t>
            </w:r>
          </w:p>
        </w:tc>
      </w:tr>
      <w:tr w:rsidR="00C72DBD">
        <w:trPr>
          <w:trHeight w:val="474"/>
          <w:jc w:val="center"/>
        </w:trPr>
        <w:tc>
          <w:tcPr>
            <w:tcW w:w="450" w:type="pct"/>
            <w:vMerge w:val="restart"/>
            <w:vAlign w:val="center"/>
          </w:tcPr>
          <w:p w:rsidR="00C72DBD" w:rsidRDefault="00FC0A09">
            <w:pPr>
              <w:widowControl/>
              <w:spacing w:line="360" w:lineRule="atLeast"/>
              <w:contextualSpacing/>
              <w:jc w:val="center"/>
              <w:rPr>
                <w:color w:val="000000"/>
                <w:kern w:val="0"/>
                <w:sz w:val="24"/>
              </w:rPr>
            </w:pPr>
            <w:r>
              <w:rPr>
                <w:color w:val="000000"/>
                <w:kern w:val="0"/>
                <w:sz w:val="24"/>
              </w:rPr>
              <w:t>合计</w:t>
            </w:r>
          </w:p>
        </w:tc>
        <w:tc>
          <w:tcPr>
            <w:tcW w:w="3986" w:type="pct"/>
            <w:gridSpan w:val="5"/>
            <w:vAlign w:val="center"/>
          </w:tcPr>
          <w:p w:rsidR="00C72DBD" w:rsidRDefault="00FC0A09">
            <w:pPr>
              <w:widowControl/>
              <w:spacing w:line="360" w:lineRule="atLeast"/>
              <w:contextualSpacing/>
              <w:jc w:val="right"/>
              <w:rPr>
                <w:color w:val="000000"/>
                <w:w w:val="95"/>
                <w:kern w:val="0"/>
                <w:sz w:val="24"/>
              </w:rPr>
            </w:pPr>
            <w:r>
              <w:rPr>
                <w:rFonts w:hint="eastAsia"/>
                <w:color w:val="000000"/>
                <w:w w:val="95"/>
                <w:sz w:val="24"/>
              </w:rPr>
              <w:t>以上指标加和总分</w:t>
            </w:r>
          </w:p>
        </w:tc>
        <w:tc>
          <w:tcPr>
            <w:tcW w:w="562" w:type="pct"/>
            <w:vAlign w:val="center"/>
          </w:tcPr>
          <w:p w:rsidR="00C72DBD" w:rsidRDefault="00FC0A09">
            <w:pPr>
              <w:widowControl/>
              <w:spacing w:line="360" w:lineRule="atLeast"/>
              <w:contextualSpacing/>
              <w:jc w:val="center"/>
              <w:rPr>
                <w:color w:val="000000"/>
                <w:kern w:val="0"/>
                <w:sz w:val="24"/>
              </w:rPr>
            </w:pPr>
            <w:r>
              <w:rPr>
                <w:rFonts w:hint="eastAsia"/>
                <w:color w:val="000000"/>
                <w:kern w:val="0"/>
                <w:sz w:val="24"/>
              </w:rPr>
              <w:t>66</w:t>
            </w:r>
          </w:p>
        </w:tc>
      </w:tr>
      <w:tr w:rsidR="00C72DBD">
        <w:trPr>
          <w:trHeight w:val="454"/>
          <w:jc w:val="center"/>
        </w:trPr>
        <w:tc>
          <w:tcPr>
            <w:tcW w:w="450" w:type="pct"/>
            <w:vMerge/>
            <w:vAlign w:val="center"/>
          </w:tcPr>
          <w:p w:rsidR="00C72DBD" w:rsidRDefault="00C72DBD">
            <w:pPr>
              <w:widowControl/>
              <w:spacing w:line="360" w:lineRule="atLeast"/>
              <w:contextualSpacing/>
              <w:jc w:val="center"/>
              <w:rPr>
                <w:color w:val="000000"/>
                <w:kern w:val="0"/>
                <w:sz w:val="24"/>
              </w:rPr>
            </w:pPr>
          </w:p>
        </w:tc>
        <w:tc>
          <w:tcPr>
            <w:tcW w:w="3986" w:type="pct"/>
            <w:gridSpan w:val="5"/>
            <w:vAlign w:val="center"/>
          </w:tcPr>
          <w:p w:rsidR="00C72DBD" w:rsidRDefault="00FC0A09">
            <w:pPr>
              <w:widowControl/>
              <w:spacing w:line="360" w:lineRule="atLeast"/>
              <w:contextualSpacing/>
              <w:jc w:val="right"/>
              <w:rPr>
                <w:color w:val="000000"/>
                <w:w w:val="95"/>
                <w:kern w:val="0"/>
                <w:sz w:val="24"/>
              </w:rPr>
            </w:pPr>
            <w:r>
              <w:rPr>
                <w:rFonts w:hint="eastAsia"/>
                <w:color w:val="000000"/>
                <w:w w:val="95"/>
                <w:sz w:val="24"/>
              </w:rPr>
              <w:t>按照</w:t>
            </w:r>
            <w:r>
              <w:rPr>
                <w:color w:val="000000"/>
                <w:w w:val="95"/>
                <w:sz w:val="24"/>
              </w:rPr>
              <w:t>《钢铁企业绿色高质量发展指数》</w:t>
            </w:r>
            <w:r>
              <w:rPr>
                <w:rFonts w:hint="eastAsia"/>
                <w:color w:val="000000"/>
                <w:w w:val="95"/>
                <w:kern w:val="0"/>
                <w:sz w:val="24"/>
              </w:rPr>
              <w:t>C1</w:t>
            </w:r>
            <w:r>
              <w:rPr>
                <w:rFonts w:hint="eastAsia"/>
                <w:color w:val="000000"/>
                <w:w w:val="95"/>
                <w:kern w:val="0"/>
                <w:sz w:val="24"/>
              </w:rPr>
              <w:t>表注</w:t>
            </w:r>
            <w:r>
              <w:rPr>
                <w:rFonts w:hint="eastAsia"/>
                <w:color w:val="000000"/>
                <w:w w:val="95"/>
                <w:kern w:val="0"/>
                <w:sz w:val="24"/>
              </w:rPr>
              <w:t>2</w:t>
            </w:r>
            <w:r>
              <w:rPr>
                <w:rFonts w:hint="eastAsia"/>
                <w:color w:val="000000"/>
                <w:w w:val="95"/>
                <w:kern w:val="0"/>
                <w:sz w:val="24"/>
              </w:rPr>
              <w:t>算法得分</w:t>
            </w:r>
            <w:r>
              <w:rPr>
                <w:rFonts w:hint="eastAsia"/>
                <w:color w:val="000000"/>
                <w:w w:val="95"/>
                <w:kern w:val="0"/>
                <w:sz w:val="24"/>
              </w:rPr>
              <w:t>66*100/81</w:t>
            </w:r>
          </w:p>
        </w:tc>
        <w:tc>
          <w:tcPr>
            <w:tcW w:w="562" w:type="pct"/>
            <w:vAlign w:val="center"/>
          </w:tcPr>
          <w:p w:rsidR="00C72DBD" w:rsidRDefault="00FC0A09">
            <w:pPr>
              <w:widowControl/>
              <w:spacing w:line="360" w:lineRule="atLeast"/>
              <w:contextualSpacing/>
              <w:jc w:val="center"/>
              <w:rPr>
                <w:color w:val="000000"/>
                <w:kern w:val="0"/>
                <w:sz w:val="24"/>
              </w:rPr>
            </w:pPr>
            <w:r>
              <w:rPr>
                <w:rFonts w:hint="eastAsia"/>
                <w:color w:val="000000"/>
                <w:kern w:val="0"/>
                <w:sz w:val="24"/>
              </w:rPr>
              <w:t>81.48</w:t>
            </w:r>
          </w:p>
        </w:tc>
      </w:tr>
      <w:tr w:rsidR="00C72DBD">
        <w:trPr>
          <w:trHeight w:val="284"/>
          <w:jc w:val="center"/>
        </w:trPr>
        <w:tc>
          <w:tcPr>
            <w:tcW w:w="672" w:type="pct"/>
            <w:gridSpan w:val="2"/>
          </w:tcPr>
          <w:p w:rsidR="00C72DBD" w:rsidRDefault="00C72DBD">
            <w:pPr>
              <w:spacing w:line="360" w:lineRule="atLeast"/>
              <w:ind w:left="480" w:hangingChars="200" w:hanging="480"/>
              <w:contextualSpacing/>
              <w:rPr>
                <w:dstrike/>
                <w:color w:val="000000"/>
                <w:sz w:val="24"/>
              </w:rPr>
            </w:pPr>
          </w:p>
        </w:tc>
        <w:tc>
          <w:tcPr>
            <w:tcW w:w="4327" w:type="pct"/>
            <w:gridSpan w:val="5"/>
            <w:vAlign w:val="center"/>
          </w:tcPr>
          <w:p w:rsidR="00C72DBD" w:rsidRDefault="00FC0A09">
            <w:pPr>
              <w:spacing w:line="360" w:lineRule="atLeast"/>
              <w:ind w:left="480" w:hangingChars="200" w:hanging="480"/>
              <w:contextualSpacing/>
              <w:rPr>
                <w:color w:val="000000"/>
                <w:sz w:val="24"/>
                <w:highlight w:val="yellow"/>
              </w:rPr>
            </w:pPr>
            <w:r>
              <w:rPr>
                <w:color w:val="000000"/>
                <w:sz w:val="24"/>
              </w:rPr>
              <w:t>注：此表指标与《钢铁企业绿色高质量发展指数》团体标准</w:t>
            </w:r>
            <w:r>
              <w:rPr>
                <w:color w:val="000000"/>
                <w:sz w:val="24"/>
              </w:rPr>
              <w:t>(T/CISA044-2020)</w:t>
            </w:r>
            <w:r>
              <w:rPr>
                <w:color w:val="000000"/>
                <w:sz w:val="24"/>
              </w:rPr>
              <w:t>中表</w:t>
            </w:r>
            <w:r>
              <w:rPr>
                <w:color w:val="000000"/>
                <w:sz w:val="24"/>
              </w:rPr>
              <w:t>C.1</w:t>
            </w:r>
            <w:r>
              <w:rPr>
                <w:color w:val="000000"/>
                <w:sz w:val="24"/>
              </w:rPr>
              <w:t>相同，具体填写可参照相关要求。</w:t>
            </w:r>
          </w:p>
        </w:tc>
      </w:tr>
    </w:tbl>
    <w:p w:rsidR="00C72DBD" w:rsidRDefault="00C72DBD">
      <w:pPr>
        <w:rPr>
          <w:rFonts w:ascii="宋体" w:hAnsi="宋体"/>
          <w:color w:val="000000"/>
          <w:sz w:val="24"/>
        </w:rPr>
      </w:pPr>
    </w:p>
    <w:p w:rsidR="00C72DBD" w:rsidRDefault="00FC0A09">
      <w:pPr>
        <w:jc w:val="center"/>
        <w:rPr>
          <w:rFonts w:eastAsia="黑体" w:cs="黑体"/>
          <w:sz w:val="32"/>
          <w:szCs w:val="32"/>
        </w:rPr>
      </w:pPr>
      <w:r>
        <w:rPr>
          <w:rFonts w:eastAsia="黑体" w:cs="黑体"/>
          <w:sz w:val="32"/>
          <w:szCs w:val="32"/>
        </w:rPr>
        <w:br w:type="page"/>
      </w:r>
    </w:p>
    <w:p w:rsidR="00C72DBD" w:rsidRDefault="00FC0A09" w:rsidP="00A76DEC">
      <w:pPr>
        <w:spacing w:afterLines="50" w:after="156"/>
        <w:jc w:val="center"/>
        <w:rPr>
          <w:rFonts w:eastAsia="黑体" w:cs="黑体"/>
          <w:sz w:val="36"/>
          <w:szCs w:val="36"/>
        </w:rPr>
      </w:pPr>
      <w:r>
        <w:rPr>
          <w:rFonts w:eastAsia="黑体" w:cs="黑体" w:hint="eastAsia"/>
          <w:sz w:val="36"/>
          <w:szCs w:val="36"/>
        </w:rPr>
        <w:t>五、附件目录</w:t>
      </w:r>
    </w:p>
    <w:p w:rsidR="00C72DBD" w:rsidRDefault="00C72DBD">
      <w:pPr>
        <w:rPr>
          <w:rFonts w:ascii="宋体"/>
          <w:sz w:val="30"/>
          <w:szCs w:val="30"/>
        </w:rPr>
      </w:pPr>
    </w:p>
    <w:p w:rsidR="00C72DBD" w:rsidRDefault="00FC0A09">
      <w:pPr>
        <w:numPr>
          <w:ilvl w:val="0"/>
          <w:numId w:val="2"/>
        </w:numPr>
        <w:tabs>
          <w:tab w:val="clear" w:pos="1550"/>
          <w:tab w:val="left" w:pos="900"/>
        </w:tabs>
        <w:ind w:left="0" w:firstLine="560"/>
        <w:rPr>
          <w:rFonts w:ascii="宋体" w:cs="仿宋_GB2312"/>
          <w:bCs/>
          <w:sz w:val="30"/>
          <w:szCs w:val="30"/>
        </w:rPr>
      </w:pPr>
      <w:r>
        <w:rPr>
          <w:rFonts w:ascii="宋体" w:hAnsi="宋体" w:cs="仿宋_GB2312" w:hint="eastAsia"/>
          <w:bCs/>
          <w:sz w:val="30"/>
          <w:szCs w:val="30"/>
        </w:rPr>
        <w:t>申报企业出具的最近三年(2021年5月至2024年5月)环保符合要求且未发生重大环境事故的承诺材料</w:t>
      </w:r>
    </w:p>
    <w:p w:rsidR="00C72DBD" w:rsidRDefault="00FC0A09">
      <w:pPr>
        <w:numPr>
          <w:ilvl w:val="0"/>
          <w:numId w:val="2"/>
        </w:numPr>
        <w:tabs>
          <w:tab w:val="clear" w:pos="1550"/>
          <w:tab w:val="left" w:pos="900"/>
        </w:tabs>
        <w:ind w:left="0" w:firstLine="560"/>
        <w:rPr>
          <w:rFonts w:ascii="宋体"/>
          <w:bCs/>
          <w:sz w:val="30"/>
          <w:szCs w:val="30"/>
        </w:rPr>
      </w:pPr>
      <w:r>
        <w:rPr>
          <w:rFonts w:ascii="宋体" w:hAnsi="宋体" w:cs="仿宋_GB2312" w:hint="eastAsia"/>
          <w:bCs/>
          <w:sz w:val="30"/>
          <w:szCs w:val="30"/>
        </w:rPr>
        <w:t>企业环境监测、环保产品认证文件(2023年至2024年5月)</w:t>
      </w:r>
    </w:p>
    <w:p w:rsidR="00C72DBD" w:rsidRDefault="00FC0A09">
      <w:pPr>
        <w:ind w:firstLineChars="200" w:firstLine="600"/>
        <w:rPr>
          <w:rFonts w:ascii="宋体"/>
          <w:bCs/>
          <w:sz w:val="30"/>
          <w:szCs w:val="30"/>
        </w:rPr>
      </w:pPr>
      <w:r>
        <w:rPr>
          <w:rFonts w:ascii="宋体" w:hAnsi="宋体" w:cs="仿宋_GB2312" w:hint="eastAsia"/>
          <w:bCs/>
          <w:sz w:val="30"/>
          <w:szCs w:val="30"/>
        </w:rPr>
        <w:t>如：环境监测报告、产品检测报告等</w:t>
      </w:r>
    </w:p>
    <w:p w:rsidR="00C72DBD" w:rsidRDefault="00FC0A09">
      <w:pPr>
        <w:numPr>
          <w:ilvl w:val="0"/>
          <w:numId w:val="2"/>
        </w:numPr>
        <w:tabs>
          <w:tab w:val="clear" w:pos="1550"/>
          <w:tab w:val="left" w:pos="900"/>
        </w:tabs>
        <w:ind w:left="0" w:firstLine="560"/>
        <w:rPr>
          <w:rFonts w:ascii="宋体"/>
          <w:bCs/>
          <w:sz w:val="30"/>
          <w:szCs w:val="30"/>
        </w:rPr>
      </w:pPr>
      <w:r>
        <w:rPr>
          <w:rFonts w:ascii="宋体" w:hAnsi="宋体" w:cs="仿宋_GB2312" w:hint="eastAsia"/>
          <w:bCs/>
          <w:sz w:val="30"/>
          <w:szCs w:val="30"/>
        </w:rPr>
        <w:t>主要支撑性清洁生产技术创造性证明</w:t>
      </w:r>
    </w:p>
    <w:p w:rsidR="00C72DBD" w:rsidRDefault="00FC0A09">
      <w:pPr>
        <w:ind w:firstLineChars="200" w:firstLine="600"/>
        <w:rPr>
          <w:rFonts w:ascii="宋体"/>
          <w:bCs/>
          <w:sz w:val="30"/>
          <w:szCs w:val="30"/>
        </w:rPr>
      </w:pPr>
      <w:r>
        <w:rPr>
          <w:rFonts w:ascii="宋体" w:hAnsi="宋体" w:cs="仿宋_GB2312" w:hint="eastAsia"/>
          <w:bCs/>
          <w:sz w:val="30"/>
          <w:szCs w:val="30"/>
        </w:rPr>
        <w:t>如：专利证书、科技成果鉴定证书等</w:t>
      </w:r>
    </w:p>
    <w:p w:rsidR="00C72DBD" w:rsidRDefault="00FC0A09">
      <w:pPr>
        <w:numPr>
          <w:ilvl w:val="0"/>
          <w:numId w:val="2"/>
        </w:numPr>
        <w:tabs>
          <w:tab w:val="clear" w:pos="1550"/>
          <w:tab w:val="left" w:pos="900"/>
        </w:tabs>
        <w:ind w:left="0" w:firstLine="560"/>
        <w:rPr>
          <w:rFonts w:ascii="宋体"/>
          <w:bCs/>
          <w:sz w:val="30"/>
          <w:szCs w:val="30"/>
        </w:rPr>
      </w:pPr>
      <w:r>
        <w:rPr>
          <w:rFonts w:ascii="宋体" w:hAnsi="宋体" w:cs="仿宋_GB2312" w:hint="eastAsia"/>
          <w:bCs/>
          <w:sz w:val="30"/>
          <w:szCs w:val="30"/>
        </w:rPr>
        <w:t>企业清洁生产影响力、政府及社会认可度的相关证明</w:t>
      </w:r>
    </w:p>
    <w:p w:rsidR="00C72DBD" w:rsidRDefault="00FC0A09">
      <w:pPr>
        <w:ind w:firstLineChars="200" w:firstLine="600"/>
        <w:rPr>
          <w:rFonts w:ascii="宋体"/>
          <w:bCs/>
          <w:sz w:val="30"/>
          <w:szCs w:val="30"/>
        </w:rPr>
      </w:pPr>
      <w:r>
        <w:rPr>
          <w:rFonts w:ascii="宋体" w:hAnsi="宋体" w:cs="仿宋_GB2312" w:hint="eastAsia"/>
          <w:bCs/>
          <w:sz w:val="30"/>
          <w:szCs w:val="30"/>
        </w:rPr>
        <w:t>如：受表彰文件及证书、政府有关表彰学习推广其先进经验或技术的文件、新闻媒体报道等</w:t>
      </w:r>
    </w:p>
    <w:p w:rsidR="00C72DBD" w:rsidRDefault="00FC0A09">
      <w:pPr>
        <w:numPr>
          <w:ilvl w:val="0"/>
          <w:numId w:val="2"/>
        </w:numPr>
        <w:tabs>
          <w:tab w:val="clear" w:pos="1550"/>
          <w:tab w:val="left" w:pos="900"/>
        </w:tabs>
        <w:ind w:left="0" w:firstLine="560"/>
        <w:rPr>
          <w:rFonts w:ascii="宋体"/>
          <w:bCs/>
          <w:sz w:val="30"/>
          <w:szCs w:val="30"/>
        </w:rPr>
      </w:pPr>
      <w:r>
        <w:rPr>
          <w:rFonts w:ascii="宋体" w:hAnsi="宋体" w:cs="仿宋_GB2312" w:hint="eastAsia"/>
          <w:bCs/>
          <w:sz w:val="30"/>
          <w:szCs w:val="30"/>
        </w:rPr>
        <w:t>其它证明</w:t>
      </w:r>
    </w:p>
    <w:p w:rsidR="00C72DBD" w:rsidRDefault="00C72DBD">
      <w:pPr>
        <w:rPr>
          <w:rFonts w:ascii="宋体"/>
          <w:bCs/>
          <w:sz w:val="30"/>
          <w:szCs w:val="30"/>
        </w:rPr>
      </w:pPr>
    </w:p>
    <w:p w:rsidR="00C72DBD" w:rsidRDefault="00C72DBD">
      <w:pPr>
        <w:rPr>
          <w:sz w:val="30"/>
          <w:szCs w:val="30"/>
        </w:rPr>
      </w:pPr>
    </w:p>
    <w:sectPr w:rsidR="00C72DBD">
      <w:footerReference w:type="default" r:id="rId8"/>
      <w:pgSz w:w="11907" w:h="16840"/>
      <w:pgMar w:top="1418" w:right="1418" w:bottom="1418" w:left="1418" w:header="851" w:footer="851" w:gutter="57"/>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79A6" w:rsidRDefault="009279A6">
      <w:r>
        <w:separator/>
      </w:r>
    </w:p>
  </w:endnote>
  <w:endnote w:type="continuationSeparator" w:id="0">
    <w:p w:rsidR="009279A6" w:rsidRDefault="00927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姚体">
    <w:panose1 w:val="02010601030101010101"/>
    <w:charset w:val="86"/>
    <w:family w:val="auto"/>
    <w:pitch w:val="variable"/>
    <w:sig w:usb0="00000003"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2DBD" w:rsidRDefault="00FC0A09">
    <w:pPr>
      <w:jc w:val="center"/>
      <w:rPr>
        <w:rFonts w:ascii="宋体"/>
        <w:szCs w:val="21"/>
      </w:rPr>
    </w:pPr>
    <w:r>
      <w:rPr>
        <w:rFonts w:ascii="宋体" w:hAnsi="宋体"/>
        <w:szCs w:val="21"/>
      </w:rPr>
      <w:fldChar w:fldCharType="begin"/>
    </w:r>
    <w:r>
      <w:rPr>
        <w:rFonts w:ascii="宋体" w:hAnsi="宋体"/>
        <w:szCs w:val="21"/>
      </w:rPr>
      <w:instrText xml:space="preserve"> PAGE </w:instrText>
    </w:r>
    <w:r>
      <w:rPr>
        <w:rFonts w:ascii="宋体" w:hAnsi="宋体"/>
        <w:szCs w:val="21"/>
      </w:rPr>
      <w:fldChar w:fldCharType="separate"/>
    </w:r>
    <w:r w:rsidR="009279A6">
      <w:rPr>
        <w:rFonts w:ascii="宋体" w:hAnsi="宋体"/>
        <w:noProof/>
        <w:szCs w:val="21"/>
      </w:rPr>
      <w:t>1</w:t>
    </w:r>
    <w:r>
      <w:rPr>
        <w:rFonts w:ascii="宋体" w:hAnsi="宋体"/>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79A6" w:rsidRDefault="009279A6">
      <w:r>
        <w:separator/>
      </w:r>
    </w:p>
  </w:footnote>
  <w:footnote w:type="continuationSeparator" w:id="0">
    <w:p w:rsidR="009279A6" w:rsidRDefault="009279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A77C7B"/>
    <w:multiLevelType w:val="multilevel"/>
    <w:tmpl w:val="32A77C7B"/>
    <w:lvl w:ilvl="0">
      <w:start w:val="1"/>
      <w:numFmt w:val="decimal"/>
      <w:lvlText w:val="%1."/>
      <w:lvlJc w:val="left"/>
      <w:pPr>
        <w:tabs>
          <w:tab w:val="left" w:pos="1550"/>
        </w:tabs>
        <w:ind w:left="1550" w:hanging="990"/>
      </w:pPr>
      <w:rPr>
        <w:rFonts w:cs="Times New Roman" w:hint="default"/>
      </w:rPr>
    </w:lvl>
    <w:lvl w:ilvl="1">
      <w:start w:val="1"/>
      <w:numFmt w:val="lowerLetter"/>
      <w:lvlText w:val="%2)"/>
      <w:lvlJc w:val="left"/>
      <w:pPr>
        <w:tabs>
          <w:tab w:val="left" w:pos="1400"/>
        </w:tabs>
        <w:ind w:left="1400" w:hanging="420"/>
      </w:pPr>
      <w:rPr>
        <w:rFonts w:cs="Times New Roman"/>
      </w:rPr>
    </w:lvl>
    <w:lvl w:ilvl="2">
      <w:start w:val="1"/>
      <w:numFmt w:val="lowerRoman"/>
      <w:lvlText w:val="%3."/>
      <w:lvlJc w:val="right"/>
      <w:pPr>
        <w:tabs>
          <w:tab w:val="left" w:pos="1820"/>
        </w:tabs>
        <w:ind w:left="1820" w:hanging="420"/>
      </w:pPr>
      <w:rPr>
        <w:rFonts w:cs="Times New Roman"/>
      </w:rPr>
    </w:lvl>
    <w:lvl w:ilvl="3">
      <w:start w:val="1"/>
      <w:numFmt w:val="decimal"/>
      <w:lvlText w:val="%4."/>
      <w:lvlJc w:val="left"/>
      <w:pPr>
        <w:tabs>
          <w:tab w:val="left" w:pos="2240"/>
        </w:tabs>
        <w:ind w:left="2240" w:hanging="420"/>
      </w:pPr>
      <w:rPr>
        <w:rFonts w:cs="Times New Roman"/>
      </w:rPr>
    </w:lvl>
    <w:lvl w:ilvl="4">
      <w:start w:val="1"/>
      <w:numFmt w:val="lowerLetter"/>
      <w:lvlText w:val="%5)"/>
      <w:lvlJc w:val="left"/>
      <w:pPr>
        <w:tabs>
          <w:tab w:val="left" w:pos="2660"/>
        </w:tabs>
        <w:ind w:left="2660" w:hanging="420"/>
      </w:pPr>
      <w:rPr>
        <w:rFonts w:cs="Times New Roman"/>
      </w:rPr>
    </w:lvl>
    <w:lvl w:ilvl="5">
      <w:start w:val="1"/>
      <w:numFmt w:val="lowerRoman"/>
      <w:lvlText w:val="%6."/>
      <w:lvlJc w:val="right"/>
      <w:pPr>
        <w:tabs>
          <w:tab w:val="left" w:pos="3080"/>
        </w:tabs>
        <w:ind w:left="3080" w:hanging="420"/>
      </w:pPr>
      <w:rPr>
        <w:rFonts w:cs="Times New Roman"/>
      </w:rPr>
    </w:lvl>
    <w:lvl w:ilvl="6">
      <w:start w:val="1"/>
      <w:numFmt w:val="decimal"/>
      <w:lvlText w:val="%7."/>
      <w:lvlJc w:val="left"/>
      <w:pPr>
        <w:tabs>
          <w:tab w:val="left" w:pos="3500"/>
        </w:tabs>
        <w:ind w:left="3500" w:hanging="420"/>
      </w:pPr>
      <w:rPr>
        <w:rFonts w:cs="Times New Roman"/>
      </w:rPr>
    </w:lvl>
    <w:lvl w:ilvl="7">
      <w:start w:val="1"/>
      <w:numFmt w:val="lowerLetter"/>
      <w:lvlText w:val="%8)"/>
      <w:lvlJc w:val="left"/>
      <w:pPr>
        <w:tabs>
          <w:tab w:val="left" w:pos="3920"/>
        </w:tabs>
        <w:ind w:left="3920" w:hanging="420"/>
      </w:pPr>
      <w:rPr>
        <w:rFonts w:cs="Times New Roman"/>
      </w:rPr>
    </w:lvl>
    <w:lvl w:ilvl="8">
      <w:start w:val="1"/>
      <w:numFmt w:val="lowerRoman"/>
      <w:lvlText w:val="%9."/>
      <w:lvlJc w:val="right"/>
      <w:pPr>
        <w:tabs>
          <w:tab w:val="left" w:pos="4340"/>
        </w:tabs>
        <w:ind w:left="4340" w:hanging="420"/>
      </w:pPr>
      <w:rPr>
        <w:rFonts w:cs="Times New Roman"/>
      </w:rPr>
    </w:lvl>
  </w:abstractNum>
  <w:abstractNum w:abstractNumId="1">
    <w:nsid w:val="590F6980"/>
    <w:multiLevelType w:val="multilevel"/>
    <w:tmpl w:val="590F698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rawingGridVerticalSpacing w:val="156"/>
  <w:noPunctuationKerning/>
  <w:characterSpacingControl w:val="compressPunctuation"/>
  <w:noLineBreaksAfter w:lang="zh-CN" w:val="$([{£¥·‘“〈《「『【〔〖〝﹙﹛﹝＄（．［｛￡￥"/>
  <w:noLineBreaksBefore w:lang="zh-CN" w:val="!%),.:;&gt;?]}¢¨°·ˇˉ―‖’”…‰′″›℃∶、。〃〉》」』】〕〗〞︶︺︾﹀﹄﹚﹜﹞！＂％＇），．：；？］｀｜｝～￠"/>
  <w:savePreviewPicture/>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Dg3ZTAzNDU4MGNjYjBlYzlkOWFiMjIzMTNmY2JiZjYifQ=="/>
  </w:docVars>
  <w:rsids>
    <w:rsidRoot w:val="00040463"/>
    <w:rsid w:val="000044DC"/>
    <w:rsid w:val="00006323"/>
    <w:rsid w:val="00016FB7"/>
    <w:rsid w:val="00040463"/>
    <w:rsid w:val="000579E7"/>
    <w:rsid w:val="00061BD0"/>
    <w:rsid w:val="0008274C"/>
    <w:rsid w:val="000954A8"/>
    <w:rsid w:val="000B12F3"/>
    <w:rsid w:val="000E31C2"/>
    <w:rsid w:val="000E3912"/>
    <w:rsid w:val="000E4C56"/>
    <w:rsid w:val="000F33BB"/>
    <w:rsid w:val="00100BE5"/>
    <w:rsid w:val="00103355"/>
    <w:rsid w:val="00112467"/>
    <w:rsid w:val="00136491"/>
    <w:rsid w:val="00145621"/>
    <w:rsid w:val="00152FAA"/>
    <w:rsid w:val="00170D75"/>
    <w:rsid w:val="001917E1"/>
    <w:rsid w:val="001953EC"/>
    <w:rsid w:val="00195EFE"/>
    <w:rsid w:val="001A7E2E"/>
    <w:rsid w:val="001D2812"/>
    <w:rsid w:val="001E73EE"/>
    <w:rsid w:val="001F0C94"/>
    <w:rsid w:val="001F24B6"/>
    <w:rsid w:val="001F3E1B"/>
    <w:rsid w:val="00201E9B"/>
    <w:rsid w:val="00216B56"/>
    <w:rsid w:val="00220A7B"/>
    <w:rsid w:val="00222830"/>
    <w:rsid w:val="00231357"/>
    <w:rsid w:val="002328D5"/>
    <w:rsid w:val="002505C7"/>
    <w:rsid w:val="00257641"/>
    <w:rsid w:val="00267D8B"/>
    <w:rsid w:val="002A3A7F"/>
    <w:rsid w:val="002B21C6"/>
    <w:rsid w:val="002C21E5"/>
    <w:rsid w:val="002C5911"/>
    <w:rsid w:val="002E0D9E"/>
    <w:rsid w:val="002F411B"/>
    <w:rsid w:val="002F6B18"/>
    <w:rsid w:val="003127CC"/>
    <w:rsid w:val="00350F41"/>
    <w:rsid w:val="003719F1"/>
    <w:rsid w:val="0037416E"/>
    <w:rsid w:val="00374828"/>
    <w:rsid w:val="00382F74"/>
    <w:rsid w:val="00383C06"/>
    <w:rsid w:val="0039527C"/>
    <w:rsid w:val="003B7C2C"/>
    <w:rsid w:val="003C3AAE"/>
    <w:rsid w:val="003C3CA5"/>
    <w:rsid w:val="003C4501"/>
    <w:rsid w:val="003C4AD3"/>
    <w:rsid w:val="003C5A4F"/>
    <w:rsid w:val="003F7DCA"/>
    <w:rsid w:val="00412A67"/>
    <w:rsid w:val="004252EB"/>
    <w:rsid w:val="00437FB8"/>
    <w:rsid w:val="00443541"/>
    <w:rsid w:val="00447A3D"/>
    <w:rsid w:val="004526CA"/>
    <w:rsid w:val="00477416"/>
    <w:rsid w:val="00485C6A"/>
    <w:rsid w:val="00494D14"/>
    <w:rsid w:val="004A0FC2"/>
    <w:rsid w:val="004A32E5"/>
    <w:rsid w:val="004B04E4"/>
    <w:rsid w:val="004E4684"/>
    <w:rsid w:val="00505D9C"/>
    <w:rsid w:val="0050638A"/>
    <w:rsid w:val="005265A6"/>
    <w:rsid w:val="00544BF1"/>
    <w:rsid w:val="00545077"/>
    <w:rsid w:val="005574F2"/>
    <w:rsid w:val="00560C3B"/>
    <w:rsid w:val="00583524"/>
    <w:rsid w:val="005B1420"/>
    <w:rsid w:val="005B2B9A"/>
    <w:rsid w:val="005B36AA"/>
    <w:rsid w:val="005B6A37"/>
    <w:rsid w:val="005B727F"/>
    <w:rsid w:val="005C006A"/>
    <w:rsid w:val="005D21D6"/>
    <w:rsid w:val="005D22AA"/>
    <w:rsid w:val="005D68D4"/>
    <w:rsid w:val="005E0EEA"/>
    <w:rsid w:val="005E2273"/>
    <w:rsid w:val="005F3A44"/>
    <w:rsid w:val="005F4B39"/>
    <w:rsid w:val="006002D7"/>
    <w:rsid w:val="00600BDC"/>
    <w:rsid w:val="00625830"/>
    <w:rsid w:val="006355C4"/>
    <w:rsid w:val="00637C5F"/>
    <w:rsid w:val="00655B92"/>
    <w:rsid w:val="00672CCB"/>
    <w:rsid w:val="006A5242"/>
    <w:rsid w:val="006A539E"/>
    <w:rsid w:val="006A73D5"/>
    <w:rsid w:val="006A7BFE"/>
    <w:rsid w:val="006C0B38"/>
    <w:rsid w:val="006C0F7D"/>
    <w:rsid w:val="006C4D12"/>
    <w:rsid w:val="006E1E95"/>
    <w:rsid w:val="006E704F"/>
    <w:rsid w:val="006F136D"/>
    <w:rsid w:val="006F6A43"/>
    <w:rsid w:val="00712EC1"/>
    <w:rsid w:val="00724552"/>
    <w:rsid w:val="0072614C"/>
    <w:rsid w:val="00732360"/>
    <w:rsid w:val="007336F7"/>
    <w:rsid w:val="0074623E"/>
    <w:rsid w:val="00771330"/>
    <w:rsid w:val="007A2856"/>
    <w:rsid w:val="007B440C"/>
    <w:rsid w:val="007E1B06"/>
    <w:rsid w:val="00815308"/>
    <w:rsid w:val="00827836"/>
    <w:rsid w:val="00837D25"/>
    <w:rsid w:val="00842E56"/>
    <w:rsid w:val="00847D0D"/>
    <w:rsid w:val="0087267E"/>
    <w:rsid w:val="00877596"/>
    <w:rsid w:val="00881BBC"/>
    <w:rsid w:val="00887941"/>
    <w:rsid w:val="008935B7"/>
    <w:rsid w:val="00896FF3"/>
    <w:rsid w:val="008A1229"/>
    <w:rsid w:val="008A20D6"/>
    <w:rsid w:val="008B0485"/>
    <w:rsid w:val="008B11E7"/>
    <w:rsid w:val="008C0DAF"/>
    <w:rsid w:val="008D14A1"/>
    <w:rsid w:val="008D281A"/>
    <w:rsid w:val="008D7CAB"/>
    <w:rsid w:val="008E59A9"/>
    <w:rsid w:val="00903B56"/>
    <w:rsid w:val="00915574"/>
    <w:rsid w:val="00924A3B"/>
    <w:rsid w:val="009279A6"/>
    <w:rsid w:val="00935DD8"/>
    <w:rsid w:val="0095471D"/>
    <w:rsid w:val="00986676"/>
    <w:rsid w:val="009D5FAB"/>
    <w:rsid w:val="009E0D8A"/>
    <w:rsid w:val="009E46EB"/>
    <w:rsid w:val="009F2E6D"/>
    <w:rsid w:val="00A01C52"/>
    <w:rsid w:val="00A02383"/>
    <w:rsid w:val="00A25F24"/>
    <w:rsid w:val="00A44C63"/>
    <w:rsid w:val="00A545DD"/>
    <w:rsid w:val="00A75EA9"/>
    <w:rsid w:val="00A76DEC"/>
    <w:rsid w:val="00A827B1"/>
    <w:rsid w:val="00A931A5"/>
    <w:rsid w:val="00AA29A9"/>
    <w:rsid w:val="00AA385E"/>
    <w:rsid w:val="00AE2C56"/>
    <w:rsid w:val="00B035CE"/>
    <w:rsid w:val="00B242F9"/>
    <w:rsid w:val="00B27568"/>
    <w:rsid w:val="00B32315"/>
    <w:rsid w:val="00B47684"/>
    <w:rsid w:val="00B500A1"/>
    <w:rsid w:val="00B50270"/>
    <w:rsid w:val="00B57020"/>
    <w:rsid w:val="00B619C7"/>
    <w:rsid w:val="00B66917"/>
    <w:rsid w:val="00B95606"/>
    <w:rsid w:val="00BA298B"/>
    <w:rsid w:val="00BA58F1"/>
    <w:rsid w:val="00BA760E"/>
    <w:rsid w:val="00BB0043"/>
    <w:rsid w:val="00BE12E9"/>
    <w:rsid w:val="00C10D7D"/>
    <w:rsid w:val="00C149AF"/>
    <w:rsid w:val="00C42E3B"/>
    <w:rsid w:val="00C47761"/>
    <w:rsid w:val="00C54F56"/>
    <w:rsid w:val="00C67B84"/>
    <w:rsid w:val="00C72DBD"/>
    <w:rsid w:val="00C81A18"/>
    <w:rsid w:val="00C9467A"/>
    <w:rsid w:val="00CA5769"/>
    <w:rsid w:val="00CB60A7"/>
    <w:rsid w:val="00CD66A6"/>
    <w:rsid w:val="00CE0920"/>
    <w:rsid w:val="00CE2FB4"/>
    <w:rsid w:val="00D010B1"/>
    <w:rsid w:val="00D073EA"/>
    <w:rsid w:val="00D17C9C"/>
    <w:rsid w:val="00D20941"/>
    <w:rsid w:val="00D225DC"/>
    <w:rsid w:val="00D234CD"/>
    <w:rsid w:val="00D26347"/>
    <w:rsid w:val="00D623ED"/>
    <w:rsid w:val="00D80EBA"/>
    <w:rsid w:val="00DB5E4A"/>
    <w:rsid w:val="00DE1264"/>
    <w:rsid w:val="00E001A4"/>
    <w:rsid w:val="00E00A71"/>
    <w:rsid w:val="00E122B0"/>
    <w:rsid w:val="00E17A8F"/>
    <w:rsid w:val="00E415BD"/>
    <w:rsid w:val="00E56232"/>
    <w:rsid w:val="00E56E64"/>
    <w:rsid w:val="00E728A0"/>
    <w:rsid w:val="00E768C9"/>
    <w:rsid w:val="00E77FA3"/>
    <w:rsid w:val="00E97357"/>
    <w:rsid w:val="00EB2A58"/>
    <w:rsid w:val="00EB544C"/>
    <w:rsid w:val="00EC5EFE"/>
    <w:rsid w:val="00EC69B1"/>
    <w:rsid w:val="00EE31DE"/>
    <w:rsid w:val="00EF6C57"/>
    <w:rsid w:val="00F06876"/>
    <w:rsid w:val="00F110FF"/>
    <w:rsid w:val="00F12F52"/>
    <w:rsid w:val="00F25693"/>
    <w:rsid w:val="00F2745D"/>
    <w:rsid w:val="00F56234"/>
    <w:rsid w:val="00F8219C"/>
    <w:rsid w:val="00F83EC8"/>
    <w:rsid w:val="00F847DB"/>
    <w:rsid w:val="00FA5280"/>
    <w:rsid w:val="00FB4AA7"/>
    <w:rsid w:val="00FC0A09"/>
    <w:rsid w:val="00FD1564"/>
    <w:rsid w:val="00FF03DC"/>
    <w:rsid w:val="01062EEC"/>
    <w:rsid w:val="0109531D"/>
    <w:rsid w:val="01145609"/>
    <w:rsid w:val="011A24F4"/>
    <w:rsid w:val="01255120"/>
    <w:rsid w:val="015772A4"/>
    <w:rsid w:val="015D0D5E"/>
    <w:rsid w:val="017240DE"/>
    <w:rsid w:val="01763BCE"/>
    <w:rsid w:val="01A73D87"/>
    <w:rsid w:val="01D9415D"/>
    <w:rsid w:val="01EA2FEA"/>
    <w:rsid w:val="02056D00"/>
    <w:rsid w:val="020E3E06"/>
    <w:rsid w:val="024B505A"/>
    <w:rsid w:val="024E4B4B"/>
    <w:rsid w:val="02555DE0"/>
    <w:rsid w:val="028C11CF"/>
    <w:rsid w:val="02AF383B"/>
    <w:rsid w:val="02C95980"/>
    <w:rsid w:val="033B6E7D"/>
    <w:rsid w:val="035F21B1"/>
    <w:rsid w:val="040B01C4"/>
    <w:rsid w:val="043833BC"/>
    <w:rsid w:val="04AC7907"/>
    <w:rsid w:val="050F6813"/>
    <w:rsid w:val="05485881"/>
    <w:rsid w:val="05663F59"/>
    <w:rsid w:val="056D353A"/>
    <w:rsid w:val="05962A91"/>
    <w:rsid w:val="05E12459"/>
    <w:rsid w:val="05E25CD6"/>
    <w:rsid w:val="05F668E3"/>
    <w:rsid w:val="06024233"/>
    <w:rsid w:val="0624009C"/>
    <w:rsid w:val="06672D9E"/>
    <w:rsid w:val="066F3E8C"/>
    <w:rsid w:val="06B156A8"/>
    <w:rsid w:val="06C23411"/>
    <w:rsid w:val="06F757B1"/>
    <w:rsid w:val="06FA0DFD"/>
    <w:rsid w:val="0701218C"/>
    <w:rsid w:val="072440CC"/>
    <w:rsid w:val="075E313A"/>
    <w:rsid w:val="0794583D"/>
    <w:rsid w:val="07AA2823"/>
    <w:rsid w:val="07AD2313"/>
    <w:rsid w:val="08005163"/>
    <w:rsid w:val="0802440D"/>
    <w:rsid w:val="08183C31"/>
    <w:rsid w:val="08350C17"/>
    <w:rsid w:val="0840123A"/>
    <w:rsid w:val="086E55FF"/>
    <w:rsid w:val="087F489B"/>
    <w:rsid w:val="08BA6A96"/>
    <w:rsid w:val="08C711B3"/>
    <w:rsid w:val="08DD660E"/>
    <w:rsid w:val="092403B3"/>
    <w:rsid w:val="092959CA"/>
    <w:rsid w:val="093305F6"/>
    <w:rsid w:val="095347F5"/>
    <w:rsid w:val="0955056D"/>
    <w:rsid w:val="09750C0F"/>
    <w:rsid w:val="09D771D4"/>
    <w:rsid w:val="09DA6CC4"/>
    <w:rsid w:val="0A6D18E6"/>
    <w:rsid w:val="0A84735B"/>
    <w:rsid w:val="0A92134D"/>
    <w:rsid w:val="0AA55524"/>
    <w:rsid w:val="0B394427"/>
    <w:rsid w:val="0B41524D"/>
    <w:rsid w:val="0B4B1C27"/>
    <w:rsid w:val="0B674587"/>
    <w:rsid w:val="0B7F5D75"/>
    <w:rsid w:val="0BD87927"/>
    <w:rsid w:val="0C2C0E53"/>
    <w:rsid w:val="0CA46DBD"/>
    <w:rsid w:val="0CFB58CF"/>
    <w:rsid w:val="0D215336"/>
    <w:rsid w:val="0D6F7BF0"/>
    <w:rsid w:val="0DE87C01"/>
    <w:rsid w:val="0DF76096"/>
    <w:rsid w:val="0E5131BF"/>
    <w:rsid w:val="0E8D4588"/>
    <w:rsid w:val="0E8F4521"/>
    <w:rsid w:val="0F0847B9"/>
    <w:rsid w:val="0F0F11BE"/>
    <w:rsid w:val="0F1B6BFB"/>
    <w:rsid w:val="0F501F02"/>
    <w:rsid w:val="0F6C4862"/>
    <w:rsid w:val="0F8E47D8"/>
    <w:rsid w:val="0F995D4B"/>
    <w:rsid w:val="0F9E3B46"/>
    <w:rsid w:val="0FF54858"/>
    <w:rsid w:val="101051ED"/>
    <w:rsid w:val="103B4960"/>
    <w:rsid w:val="104972A7"/>
    <w:rsid w:val="10702130"/>
    <w:rsid w:val="107514F4"/>
    <w:rsid w:val="10CD6AFE"/>
    <w:rsid w:val="10E36DA6"/>
    <w:rsid w:val="110A60E1"/>
    <w:rsid w:val="114535BD"/>
    <w:rsid w:val="11877731"/>
    <w:rsid w:val="119A7465"/>
    <w:rsid w:val="11B83D8F"/>
    <w:rsid w:val="11E87671"/>
    <w:rsid w:val="11FA7F03"/>
    <w:rsid w:val="12192A7F"/>
    <w:rsid w:val="121F7AD1"/>
    <w:rsid w:val="1232769D"/>
    <w:rsid w:val="127F665A"/>
    <w:rsid w:val="128C468C"/>
    <w:rsid w:val="12A00E5F"/>
    <w:rsid w:val="12EA61CA"/>
    <w:rsid w:val="131E2317"/>
    <w:rsid w:val="135950FD"/>
    <w:rsid w:val="13622204"/>
    <w:rsid w:val="13651CF4"/>
    <w:rsid w:val="137034BC"/>
    <w:rsid w:val="13AC16D1"/>
    <w:rsid w:val="13BA3DEE"/>
    <w:rsid w:val="14283F79"/>
    <w:rsid w:val="146F2E2A"/>
    <w:rsid w:val="14720225"/>
    <w:rsid w:val="14785B68"/>
    <w:rsid w:val="14861084"/>
    <w:rsid w:val="14AC39FA"/>
    <w:rsid w:val="14C50C9C"/>
    <w:rsid w:val="14CD7B51"/>
    <w:rsid w:val="14E629C1"/>
    <w:rsid w:val="152B7078"/>
    <w:rsid w:val="154845A7"/>
    <w:rsid w:val="155F376C"/>
    <w:rsid w:val="156758B0"/>
    <w:rsid w:val="159863B1"/>
    <w:rsid w:val="159C3459"/>
    <w:rsid w:val="15A84347"/>
    <w:rsid w:val="15BD075E"/>
    <w:rsid w:val="161A0B74"/>
    <w:rsid w:val="164B387A"/>
    <w:rsid w:val="16640041"/>
    <w:rsid w:val="16CA5068"/>
    <w:rsid w:val="16D52CED"/>
    <w:rsid w:val="17042B24"/>
    <w:rsid w:val="170B4961"/>
    <w:rsid w:val="173D6B44"/>
    <w:rsid w:val="177C31DA"/>
    <w:rsid w:val="177C760C"/>
    <w:rsid w:val="17A821AF"/>
    <w:rsid w:val="17E53404"/>
    <w:rsid w:val="17F378CF"/>
    <w:rsid w:val="183323C1"/>
    <w:rsid w:val="184A3267"/>
    <w:rsid w:val="18616F2E"/>
    <w:rsid w:val="18934C0E"/>
    <w:rsid w:val="189C6830"/>
    <w:rsid w:val="18AC5CCF"/>
    <w:rsid w:val="18AD7B74"/>
    <w:rsid w:val="18E86D07"/>
    <w:rsid w:val="18F24496"/>
    <w:rsid w:val="1936745C"/>
    <w:rsid w:val="193C34F7"/>
    <w:rsid w:val="19406B43"/>
    <w:rsid w:val="197467ED"/>
    <w:rsid w:val="19A33E4F"/>
    <w:rsid w:val="1A134258"/>
    <w:rsid w:val="1A27385F"/>
    <w:rsid w:val="1A47472E"/>
    <w:rsid w:val="1A98475D"/>
    <w:rsid w:val="1A9B5FFB"/>
    <w:rsid w:val="1AA03612"/>
    <w:rsid w:val="1AC437A4"/>
    <w:rsid w:val="1AF000F5"/>
    <w:rsid w:val="1B2129A5"/>
    <w:rsid w:val="1B7818A0"/>
    <w:rsid w:val="1B852F33"/>
    <w:rsid w:val="1C0320AA"/>
    <w:rsid w:val="1C5A616E"/>
    <w:rsid w:val="1C625023"/>
    <w:rsid w:val="1C9B7F61"/>
    <w:rsid w:val="1CB05D8E"/>
    <w:rsid w:val="1CB3587E"/>
    <w:rsid w:val="1CF77E61"/>
    <w:rsid w:val="1D126A49"/>
    <w:rsid w:val="1D183933"/>
    <w:rsid w:val="1D37200B"/>
    <w:rsid w:val="1D660B43"/>
    <w:rsid w:val="1D7414B2"/>
    <w:rsid w:val="1E2F7187"/>
    <w:rsid w:val="1E3D2472"/>
    <w:rsid w:val="1E4C7D38"/>
    <w:rsid w:val="1E4D585F"/>
    <w:rsid w:val="1E4F15D7"/>
    <w:rsid w:val="1EBD0C36"/>
    <w:rsid w:val="1EE47F71"/>
    <w:rsid w:val="1EEC32CA"/>
    <w:rsid w:val="1EF06916"/>
    <w:rsid w:val="1FE02E2E"/>
    <w:rsid w:val="20120B0E"/>
    <w:rsid w:val="206D3F96"/>
    <w:rsid w:val="20885230"/>
    <w:rsid w:val="20892163"/>
    <w:rsid w:val="20BC2DC4"/>
    <w:rsid w:val="20E15541"/>
    <w:rsid w:val="21260D15"/>
    <w:rsid w:val="21863561"/>
    <w:rsid w:val="219C0FD7"/>
    <w:rsid w:val="21AA2451"/>
    <w:rsid w:val="21AB2FC8"/>
    <w:rsid w:val="21C959CC"/>
    <w:rsid w:val="21FE57EE"/>
    <w:rsid w:val="22F96BAC"/>
    <w:rsid w:val="231C7F86"/>
    <w:rsid w:val="23214185"/>
    <w:rsid w:val="233C481F"/>
    <w:rsid w:val="23490CEA"/>
    <w:rsid w:val="236C49D9"/>
    <w:rsid w:val="237A7F73"/>
    <w:rsid w:val="23846785"/>
    <w:rsid w:val="23B32608"/>
    <w:rsid w:val="243F3E9B"/>
    <w:rsid w:val="24547947"/>
    <w:rsid w:val="24FE78B3"/>
    <w:rsid w:val="251610A0"/>
    <w:rsid w:val="25205A7B"/>
    <w:rsid w:val="2540611D"/>
    <w:rsid w:val="25853B30"/>
    <w:rsid w:val="25A205EC"/>
    <w:rsid w:val="26084E8D"/>
    <w:rsid w:val="260A23B5"/>
    <w:rsid w:val="260E1D77"/>
    <w:rsid w:val="261F5D33"/>
    <w:rsid w:val="262301D1"/>
    <w:rsid w:val="26655E3B"/>
    <w:rsid w:val="26834424"/>
    <w:rsid w:val="2683455F"/>
    <w:rsid w:val="2685748B"/>
    <w:rsid w:val="269E134D"/>
    <w:rsid w:val="26ED5E31"/>
    <w:rsid w:val="27010CE7"/>
    <w:rsid w:val="271236A7"/>
    <w:rsid w:val="272A101D"/>
    <w:rsid w:val="278F2573"/>
    <w:rsid w:val="27A72484"/>
    <w:rsid w:val="2804298D"/>
    <w:rsid w:val="285C0613"/>
    <w:rsid w:val="28D330CF"/>
    <w:rsid w:val="28E55011"/>
    <w:rsid w:val="28E97742"/>
    <w:rsid w:val="293935AF"/>
    <w:rsid w:val="29634188"/>
    <w:rsid w:val="29852351"/>
    <w:rsid w:val="299D6F78"/>
    <w:rsid w:val="2A44220C"/>
    <w:rsid w:val="2A7B7CE9"/>
    <w:rsid w:val="2A866380"/>
    <w:rsid w:val="2A8C6B23"/>
    <w:rsid w:val="2A8E3487"/>
    <w:rsid w:val="2A9F38E6"/>
    <w:rsid w:val="2B801021"/>
    <w:rsid w:val="2B8C5C18"/>
    <w:rsid w:val="2C183950"/>
    <w:rsid w:val="2C2C2F57"/>
    <w:rsid w:val="2CD37156"/>
    <w:rsid w:val="2CE35D0C"/>
    <w:rsid w:val="2CEA52EC"/>
    <w:rsid w:val="2CEA709A"/>
    <w:rsid w:val="2D0143E4"/>
    <w:rsid w:val="2D1C78A4"/>
    <w:rsid w:val="2D202ABC"/>
    <w:rsid w:val="2D215886"/>
    <w:rsid w:val="2D2E128C"/>
    <w:rsid w:val="2DB43204"/>
    <w:rsid w:val="2DB63591"/>
    <w:rsid w:val="2E0917A2"/>
    <w:rsid w:val="2E0C1292"/>
    <w:rsid w:val="2E3F1F3D"/>
    <w:rsid w:val="2EC35DF5"/>
    <w:rsid w:val="2EF07CD3"/>
    <w:rsid w:val="2F126434"/>
    <w:rsid w:val="2F34284F"/>
    <w:rsid w:val="2F590507"/>
    <w:rsid w:val="2F5A4ED7"/>
    <w:rsid w:val="2F7A10CE"/>
    <w:rsid w:val="2F8F217B"/>
    <w:rsid w:val="2FA32635"/>
    <w:rsid w:val="2FAE63D5"/>
    <w:rsid w:val="2FCF1ED5"/>
    <w:rsid w:val="2FE662BC"/>
    <w:rsid w:val="2FED29FE"/>
    <w:rsid w:val="303B6FDA"/>
    <w:rsid w:val="304614C0"/>
    <w:rsid w:val="308710A4"/>
    <w:rsid w:val="30BA4FD6"/>
    <w:rsid w:val="30CE282F"/>
    <w:rsid w:val="31142AAC"/>
    <w:rsid w:val="31344D88"/>
    <w:rsid w:val="323D5EBE"/>
    <w:rsid w:val="32743C01"/>
    <w:rsid w:val="32DA54BB"/>
    <w:rsid w:val="337E0A1E"/>
    <w:rsid w:val="33A37FA3"/>
    <w:rsid w:val="33BC72B7"/>
    <w:rsid w:val="33C65A4B"/>
    <w:rsid w:val="33DE722D"/>
    <w:rsid w:val="33EA3850"/>
    <w:rsid w:val="33FF7C1B"/>
    <w:rsid w:val="344F62EE"/>
    <w:rsid w:val="34BF0E0C"/>
    <w:rsid w:val="34E77D97"/>
    <w:rsid w:val="35215623"/>
    <w:rsid w:val="355E6877"/>
    <w:rsid w:val="3569521C"/>
    <w:rsid w:val="35917B93"/>
    <w:rsid w:val="35957DBF"/>
    <w:rsid w:val="35A61FCC"/>
    <w:rsid w:val="35AF0E81"/>
    <w:rsid w:val="35DC07A8"/>
    <w:rsid w:val="35E054DE"/>
    <w:rsid w:val="35F40F8A"/>
    <w:rsid w:val="362D624A"/>
    <w:rsid w:val="365F0AAF"/>
    <w:rsid w:val="36826596"/>
    <w:rsid w:val="36987F99"/>
    <w:rsid w:val="36A056B5"/>
    <w:rsid w:val="36A55DE0"/>
    <w:rsid w:val="36B50719"/>
    <w:rsid w:val="36D44917"/>
    <w:rsid w:val="36E0506A"/>
    <w:rsid w:val="3709636F"/>
    <w:rsid w:val="3731331D"/>
    <w:rsid w:val="374101FF"/>
    <w:rsid w:val="37455DA4"/>
    <w:rsid w:val="37585548"/>
    <w:rsid w:val="375D66BB"/>
    <w:rsid w:val="37A75B88"/>
    <w:rsid w:val="37AB5678"/>
    <w:rsid w:val="380F3E59"/>
    <w:rsid w:val="3851621F"/>
    <w:rsid w:val="3855651F"/>
    <w:rsid w:val="385E6B8E"/>
    <w:rsid w:val="38685317"/>
    <w:rsid w:val="389B393F"/>
    <w:rsid w:val="38BD1B07"/>
    <w:rsid w:val="38C5276A"/>
    <w:rsid w:val="38D1110E"/>
    <w:rsid w:val="38D40BFF"/>
    <w:rsid w:val="38DE51A6"/>
    <w:rsid w:val="38E9788A"/>
    <w:rsid w:val="39194863"/>
    <w:rsid w:val="39671A73"/>
    <w:rsid w:val="396F26D5"/>
    <w:rsid w:val="3971469F"/>
    <w:rsid w:val="3995213C"/>
    <w:rsid w:val="399E1711"/>
    <w:rsid w:val="39B26368"/>
    <w:rsid w:val="39BF540B"/>
    <w:rsid w:val="39D96DB9"/>
    <w:rsid w:val="39FA28E7"/>
    <w:rsid w:val="3A43428E"/>
    <w:rsid w:val="3A687850"/>
    <w:rsid w:val="3AF17846"/>
    <w:rsid w:val="3B0E664A"/>
    <w:rsid w:val="3B451940"/>
    <w:rsid w:val="3B4A33FA"/>
    <w:rsid w:val="3B7F30A4"/>
    <w:rsid w:val="3BA50630"/>
    <w:rsid w:val="3BC27434"/>
    <w:rsid w:val="3BD80A06"/>
    <w:rsid w:val="3C0A4E53"/>
    <w:rsid w:val="3C0E4427"/>
    <w:rsid w:val="3C2123AD"/>
    <w:rsid w:val="3C2D6C4E"/>
    <w:rsid w:val="3C666012"/>
    <w:rsid w:val="3CA803D8"/>
    <w:rsid w:val="3CB31A72"/>
    <w:rsid w:val="3CF7310E"/>
    <w:rsid w:val="3D037D04"/>
    <w:rsid w:val="3D837080"/>
    <w:rsid w:val="3DB334D8"/>
    <w:rsid w:val="3E016501"/>
    <w:rsid w:val="3E3A59A8"/>
    <w:rsid w:val="3E8D3D29"/>
    <w:rsid w:val="3E9C21BE"/>
    <w:rsid w:val="3EC03128"/>
    <w:rsid w:val="3ED731F7"/>
    <w:rsid w:val="3ED73490"/>
    <w:rsid w:val="3EE80F60"/>
    <w:rsid w:val="3EFC605D"/>
    <w:rsid w:val="3F340649"/>
    <w:rsid w:val="3F450160"/>
    <w:rsid w:val="3F79605C"/>
    <w:rsid w:val="3F8C3EF3"/>
    <w:rsid w:val="3F8E5FAB"/>
    <w:rsid w:val="3FB02111"/>
    <w:rsid w:val="3FB32194"/>
    <w:rsid w:val="3FE65815"/>
    <w:rsid w:val="40210BCD"/>
    <w:rsid w:val="403C5749"/>
    <w:rsid w:val="40DF6392"/>
    <w:rsid w:val="40F55BB6"/>
    <w:rsid w:val="410C362B"/>
    <w:rsid w:val="41264B4B"/>
    <w:rsid w:val="414D154E"/>
    <w:rsid w:val="41670862"/>
    <w:rsid w:val="41A00C96"/>
    <w:rsid w:val="41F25DF7"/>
    <w:rsid w:val="42332E3A"/>
    <w:rsid w:val="4286740D"/>
    <w:rsid w:val="42BD2703"/>
    <w:rsid w:val="42D77C69"/>
    <w:rsid w:val="43305354"/>
    <w:rsid w:val="43413334"/>
    <w:rsid w:val="43564C46"/>
    <w:rsid w:val="437B3883"/>
    <w:rsid w:val="43884ABF"/>
    <w:rsid w:val="43915CFC"/>
    <w:rsid w:val="43AC6A00"/>
    <w:rsid w:val="43B35FE0"/>
    <w:rsid w:val="441D5B50"/>
    <w:rsid w:val="442E1B0B"/>
    <w:rsid w:val="44C71617"/>
    <w:rsid w:val="44E56DA0"/>
    <w:rsid w:val="44F20D8A"/>
    <w:rsid w:val="45105232"/>
    <w:rsid w:val="45555AF7"/>
    <w:rsid w:val="457E43CC"/>
    <w:rsid w:val="458319E2"/>
    <w:rsid w:val="45C13A4A"/>
    <w:rsid w:val="45DA6FE9"/>
    <w:rsid w:val="45E16709"/>
    <w:rsid w:val="45EE7D8D"/>
    <w:rsid w:val="460B662B"/>
    <w:rsid w:val="4626024B"/>
    <w:rsid w:val="46497A7D"/>
    <w:rsid w:val="46994CEC"/>
    <w:rsid w:val="46E464B1"/>
    <w:rsid w:val="475C24EB"/>
    <w:rsid w:val="47A520E4"/>
    <w:rsid w:val="47F9305F"/>
    <w:rsid w:val="483B65A4"/>
    <w:rsid w:val="4876582E"/>
    <w:rsid w:val="48CE7418"/>
    <w:rsid w:val="48FB72E9"/>
    <w:rsid w:val="494972F3"/>
    <w:rsid w:val="497E0E3E"/>
    <w:rsid w:val="4A161077"/>
    <w:rsid w:val="4A547DF1"/>
    <w:rsid w:val="4A7B537E"/>
    <w:rsid w:val="4A8F1E92"/>
    <w:rsid w:val="4AF64A04"/>
    <w:rsid w:val="4B0959F7"/>
    <w:rsid w:val="4B1355B6"/>
    <w:rsid w:val="4B3612A5"/>
    <w:rsid w:val="4B645847"/>
    <w:rsid w:val="4B871B00"/>
    <w:rsid w:val="4B8A1D1C"/>
    <w:rsid w:val="4CB701C3"/>
    <w:rsid w:val="4CD70880"/>
    <w:rsid w:val="4D8C4B13"/>
    <w:rsid w:val="4DBA440F"/>
    <w:rsid w:val="4DEE7C71"/>
    <w:rsid w:val="4E4C150B"/>
    <w:rsid w:val="4E5361BC"/>
    <w:rsid w:val="4E612ADD"/>
    <w:rsid w:val="4E854EA6"/>
    <w:rsid w:val="4EA2737D"/>
    <w:rsid w:val="4EBE7F2F"/>
    <w:rsid w:val="4EC8490A"/>
    <w:rsid w:val="4EE96D5A"/>
    <w:rsid w:val="4F09192A"/>
    <w:rsid w:val="4F26750A"/>
    <w:rsid w:val="4F727462"/>
    <w:rsid w:val="4F734876"/>
    <w:rsid w:val="4F844CD5"/>
    <w:rsid w:val="4FDD43E5"/>
    <w:rsid w:val="4FE15C83"/>
    <w:rsid w:val="50067238"/>
    <w:rsid w:val="501C6CBB"/>
    <w:rsid w:val="504F7091"/>
    <w:rsid w:val="505E5526"/>
    <w:rsid w:val="50707007"/>
    <w:rsid w:val="50BB4E97"/>
    <w:rsid w:val="50C11611"/>
    <w:rsid w:val="51085492"/>
    <w:rsid w:val="5118775A"/>
    <w:rsid w:val="515B3813"/>
    <w:rsid w:val="51A60F32"/>
    <w:rsid w:val="51F3621E"/>
    <w:rsid w:val="51FA75DE"/>
    <w:rsid w:val="523522B6"/>
    <w:rsid w:val="52611113"/>
    <w:rsid w:val="5298758E"/>
    <w:rsid w:val="529E60AD"/>
    <w:rsid w:val="52A5743C"/>
    <w:rsid w:val="53114AD1"/>
    <w:rsid w:val="533802B0"/>
    <w:rsid w:val="537961D3"/>
    <w:rsid w:val="53AF3EC0"/>
    <w:rsid w:val="53EA4173"/>
    <w:rsid w:val="54085ED4"/>
    <w:rsid w:val="541A7921"/>
    <w:rsid w:val="54291EC5"/>
    <w:rsid w:val="546D4C5B"/>
    <w:rsid w:val="547E6196"/>
    <w:rsid w:val="549239F0"/>
    <w:rsid w:val="54A84FC1"/>
    <w:rsid w:val="54D37CD6"/>
    <w:rsid w:val="55230AEC"/>
    <w:rsid w:val="55395259"/>
    <w:rsid w:val="5559450E"/>
    <w:rsid w:val="55911EF9"/>
    <w:rsid w:val="55D1413E"/>
    <w:rsid w:val="563D1439"/>
    <w:rsid w:val="5655762F"/>
    <w:rsid w:val="569752EE"/>
    <w:rsid w:val="56A33CDA"/>
    <w:rsid w:val="56B0015D"/>
    <w:rsid w:val="56CA199C"/>
    <w:rsid w:val="56EC5ED1"/>
    <w:rsid w:val="57087F99"/>
    <w:rsid w:val="573C5E95"/>
    <w:rsid w:val="57603931"/>
    <w:rsid w:val="57DF519E"/>
    <w:rsid w:val="582A3F3F"/>
    <w:rsid w:val="5852253F"/>
    <w:rsid w:val="586B4F13"/>
    <w:rsid w:val="587A6C75"/>
    <w:rsid w:val="58806963"/>
    <w:rsid w:val="58856594"/>
    <w:rsid w:val="58D00F8B"/>
    <w:rsid w:val="58F33B35"/>
    <w:rsid w:val="59126EAD"/>
    <w:rsid w:val="5923730C"/>
    <w:rsid w:val="593F3A1A"/>
    <w:rsid w:val="59457C45"/>
    <w:rsid w:val="597610C2"/>
    <w:rsid w:val="59C04B5B"/>
    <w:rsid w:val="59E3084A"/>
    <w:rsid w:val="5A2F3A8F"/>
    <w:rsid w:val="5A614795"/>
    <w:rsid w:val="5A752F04"/>
    <w:rsid w:val="5AA12BDF"/>
    <w:rsid w:val="5AF727FF"/>
    <w:rsid w:val="5B30709D"/>
    <w:rsid w:val="5B667984"/>
    <w:rsid w:val="5B6943E2"/>
    <w:rsid w:val="5BAD7361"/>
    <w:rsid w:val="5BBE50CA"/>
    <w:rsid w:val="5BC23499"/>
    <w:rsid w:val="5C1271C4"/>
    <w:rsid w:val="5C9F4EFC"/>
    <w:rsid w:val="5CA644DC"/>
    <w:rsid w:val="5CAC28D2"/>
    <w:rsid w:val="5CC44962"/>
    <w:rsid w:val="5CC901CB"/>
    <w:rsid w:val="5CD03307"/>
    <w:rsid w:val="5CD821BC"/>
    <w:rsid w:val="5CE70651"/>
    <w:rsid w:val="5D704AEA"/>
    <w:rsid w:val="5DAB1F64"/>
    <w:rsid w:val="5DF70D68"/>
    <w:rsid w:val="5E0A0A9B"/>
    <w:rsid w:val="5E3742C4"/>
    <w:rsid w:val="5E437B09"/>
    <w:rsid w:val="5E4F64AE"/>
    <w:rsid w:val="5F1A793B"/>
    <w:rsid w:val="5F2E5FE3"/>
    <w:rsid w:val="5F4C0C3F"/>
    <w:rsid w:val="5F700DD2"/>
    <w:rsid w:val="5F7206A6"/>
    <w:rsid w:val="5F97010C"/>
    <w:rsid w:val="5F9745B0"/>
    <w:rsid w:val="60140260"/>
    <w:rsid w:val="605204D7"/>
    <w:rsid w:val="605E571B"/>
    <w:rsid w:val="606326E4"/>
    <w:rsid w:val="60803296"/>
    <w:rsid w:val="61161505"/>
    <w:rsid w:val="6171498D"/>
    <w:rsid w:val="619A2136"/>
    <w:rsid w:val="61B34FA6"/>
    <w:rsid w:val="61CA4CB5"/>
    <w:rsid w:val="622D4D58"/>
    <w:rsid w:val="622F6D22"/>
    <w:rsid w:val="623D25E5"/>
    <w:rsid w:val="624C78D4"/>
    <w:rsid w:val="62A0377C"/>
    <w:rsid w:val="62D4425D"/>
    <w:rsid w:val="62E541D8"/>
    <w:rsid w:val="62FE04A2"/>
    <w:rsid w:val="62FE5D89"/>
    <w:rsid w:val="63067510"/>
    <w:rsid w:val="63163A3E"/>
    <w:rsid w:val="632D050A"/>
    <w:rsid w:val="63442359"/>
    <w:rsid w:val="634C7460"/>
    <w:rsid w:val="63870498"/>
    <w:rsid w:val="639F3A33"/>
    <w:rsid w:val="63C82F8A"/>
    <w:rsid w:val="63E678B4"/>
    <w:rsid w:val="63F4076A"/>
    <w:rsid w:val="63F83144"/>
    <w:rsid w:val="6401024A"/>
    <w:rsid w:val="641066DF"/>
    <w:rsid w:val="64133100"/>
    <w:rsid w:val="645C36D2"/>
    <w:rsid w:val="64AA2690"/>
    <w:rsid w:val="64B2161B"/>
    <w:rsid w:val="64CE1AA7"/>
    <w:rsid w:val="65055B18"/>
    <w:rsid w:val="652310B2"/>
    <w:rsid w:val="65416F2F"/>
    <w:rsid w:val="65474383"/>
    <w:rsid w:val="655B1BDC"/>
    <w:rsid w:val="657B402C"/>
    <w:rsid w:val="659B647C"/>
    <w:rsid w:val="65A65DFB"/>
    <w:rsid w:val="65B8702E"/>
    <w:rsid w:val="65C43C25"/>
    <w:rsid w:val="65FC1359"/>
    <w:rsid w:val="665F0CD7"/>
    <w:rsid w:val="66860EDB"/>
    <w:rsid w:val="669E2E3E"/>
    <w:rsid w:val="66A355E9"/>
    <w:rsid w:val="66EF4CD2"/>
    <w:rsid w:val="66F916AD"/>
    <w:rsid w:val="671D11D5"/>
    <w:rsid w:val="67317098"/>
    <w:rsid w:val="674A015A"/>
    <w:rsid w:val="67544B35"/>
    <w:rsid w:val="675B2367"/>
    <w:rsid w:val="67825B46"/>
    <w:rsid w:val="678E6299"/>
    <w:rsid w:val="67BC1058"/>
    <w:rsid w:val="681E586F"/>
    <w:rsid w:val="683010FE"/>
    <w:rsid w:val="68560DE9"/>
    <w:rsid w:val="68694610"/>
    <w:rsid w:val="686B482C"/>
    <w:rsid w:val="68774F7F"/>
    <w:rsid w:val="688B4586"/>
    <w:rsid w:val="68EA74FF"/>
    <w:rsid w:val="691C1682"/>
    <w:rsid w:val="6935043D"/>
    <w:rsid w:val="698536CB"/>
    <w:rsid w:val="69902C8E"/>
    <w:rsid w:val="6A213DB0"/>
    <w:rsid w:val="6A3550F2"/>
    <w:rsid w:val="6A372C18"/>
    <w:rsid w:val="6A3749C6"/>
    <w:rsid w:val="6A4E2C86"/>
    <w:rsid w:val="6A51241A"/>
    <w:rsid w:val="6A8614A9"/>
    <w:rsid w:val="6A8A2E21"/>
    <w:rsid w:val="6A8F6408"/>
    <w:rsid w:val="6AC33F7B"/>
    <w:rsid w:val="6AF9611F"/>
    <w:rsid w:val="6B017407"/>
    <w:rsid w:val="6B9B2D32"/>
    <w:rsid w:val="6BB34F40"/>
    <w:rsid w:val="6BD3071E"/>
    <w:rsid w:val="6BE446D9"/>
    <w:rsid w:val="6C1017D6"/>
    <w:rsid w:val="6C830396"/>
    <w:rsid w:val="6C871509"/>
    <w:rsid w:val="6C9F2CF6"/>
    <w:rsid w:val="6CEB405D"/>
    <w:rsid w:val="6D013069"/>
    <w:rsid w:val="6D01750D"/>
    <w:rsid w:val="6D65184A"/>
    <w:rsid w:val="6D7B106D"/>
    <w:rsid w:val="6D9E6B0A"/>
    <w:rsid w:val="6DC02F24"/>
    <w:rsid w:val="6E0220C9"/>
    <w:rsid w:val="6E4B183C"/>
    <w:rsid w:val="6E9D60EF"/>
    <w:rsid w:val="6F046E40"/>
    <w:rsid w:val="6FC50CC6"/>
    <w:rsid w:val="6FC83DE4"/>
    <w:rsid w:val="70076708"/>
    <w:rsid w:val="70291255"/>
    <w:rsid w:val="70607E84"/>
    <w:rsid w:val="70657DB3"/>
    <w:rsid w:val="706E4394"/>
    <w:rsid w:val="70741DA4"/>
    <w:rsid w:val="7095123F"/>
    <w:rsid w:val="70CD5DAB"/>
    <w:rsid w:val="70EC5DDE"/>
    <w:rsid w:val="7101188A"/>
    <w:rsid w:val="714F144C"/>
    <w:rsid w:val="7169742F"/>
    <w:rsid w:val="71971EC5"/>
    <w:rsid w:val="71EC6243"/>
    <w:rsid w:val="71EE109B"/>
    <w:rsid w:val="72230305"/>
    <w:rsid w:val="724203AC"/>
    <w:rsid w:val="72430FCF"/>
    <w:rsid w:val="724E4FA2"/>
    <w:rsid w:val="725956F5"/>
    <w:rsid w:val="725974A3"/>
    <w:rsid w:val="727D13E4"/>
    <w:rsid w:val="72914E8F"/>
    <w:rsid w:val="72D336FA"/>
    <w:rsid w:val="72DA05E4"/>
    <w:rsid w:val="734B14E2"/>
    <w:rsid w:val="73684DA3"/>
    <w:rsid w:val="73811C6B"/>
    <w:rsid w:val="73A155A6"/>
    <w:rsid w:val="73A40BF2"/>
    <w:rsid w:val="73E3171A"/>
    <w:rsid w:val="73F676A0"/>
    <w:rsid w:val="741B2C62"/>
    <w:rsid w:val="741C69DA"/>
    <w:rsid w:val="743B1556"/>
    <w:rsid w:val="746B212B"/>
    <w:rsid w:val="7472484C"/>
    <w:rsid w:val="747F58E7"/>
    <w:rsid w:val="748D5459"/>
    <w:rsid w:val="74C7103C"/>
    <w:rsid w:val="74D55507"/>
    <w:rsid w:val="74E25E76"/>
    <w:rsid w:val="74F02341"/>
    <w:rsid w:val="758D4498"/>
    <w:rsid w:val="75AF5D58"/>
    <w:rsid w:val="75B3067F"/>
    <w:rsid w:val="75CD61DE"/>
    <w:rsid w:val="760C31AA"/>
    <w:rsid w:val="761B3B60"/>
    <w:rsid w:val="7624387E"/>
    <w:rsid w:val="76CC0B8C"/>
    <w:rsid w:val="772067E2"/>
    <w:rsid w:val="77601471"/>
    <w:rsid w:val="777A4144"/>
    <w:rsid w:val="77A64F39"/>
    <w:rsid w:val="77C16217"/>
    <w:rsid w:val="78212811"/>
    <w:rsid w:val="784A1D68"/>
    <w:rsid w:val="78827754"/>
    <w:rsid w:val="789F4706"/>
    <w:rsid w:val="78B05C24"/>
    <w:rsid w:val="78B90C9C"/>
    <w:rsid w:val="78BB2C66"/>
    <w:rsid w:val="78CC04D0"/>
    <w:rsid w:val="79344461"/>
    <w:rsid w:val="79532E9E"/>
    <w:rsid w:val="796C21B2"/>
    <w:rsid w:val="799F7E92"/>
    <w:rsid w:val="79CD2C51"/>
    <w:rsid w:val="79D833A4"/>
    <w:rsid w:val="79DA41DB"/>
    <w:rsid w:val="79ED32F3"/>
    <w:rsid w:val="7AD7365B"/>
    <w:rsid w:val="7B14665D"/>
    <w:rsid w:val="7B2E5971"/>
    <w:rsid w:val="7B4A02D1"/>
    <w:rsid w:val="7B4E7DC1"/>
    <w:rsid w:val="7B876E2F"/>
    <w:rsid w:val="7B97063D"/>
    <w:rsid w:val="7BF70459"/>
    <w:rsid w:val="7C224DAA"/>
    <w:rsid w:val="7C381BCF"/>
    <w:rsid w:val="7C5E06F2"/>
    <w:rsid w:val="7C7A6994"/>
    <w:rsid w:val="7C991510"/>
    <w:rsid w:val="7C991697"/>
    <w:rsid w:val="7CCD740C"/>
    <w:rsid w:val="7CD504FE"/>
    <w:rsid w:val="7D172435"/>
    <w:rsid w:val="7D4B60DE"/>
    <w:rsid w:val="7D5A0C9F"/>
    <w:rsid w:val="7D641B1E"/>
    <w:rsid w:val="7D7F0706"/>
    <w:rsid w:val="7D8201F6"/>
    <w:rsid w:val="7D851A94"/>
    <w:rsid w:val="7D891584"/>
    <w:rsid w:val="7DAC5273"/>
    <w:rsid w:val="7DB61C4E"/>
    <w:rsid w:val="7E0806FB"/>
    <w:rsid w:val="7E3C4F4D"/>
    <w:rsid w:val="7E7933A7"/>
    <w:rsid w:val="7E8B4E88"/>
    <w:rsid w:val="7E8C0357"/>
    <w:rsid w:val="7EA47CF8"/>
    <w:rsid w:val="7EA5419C"/>
    <w:rsid w:val="7F1255AA"/>
    <w:rsid w:val="7F514C84"/>
    <w:rsid w:val="7F5F4B89"/>
    <w:rsid w:val="7F69341C"/>
    <w:rsid w:val="7FBC5A7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qFormat="1"/>
    <w:lsdException w:name="footer" w:qFormat="1"/>
    <w:lsdException w:name="caption" w:locked="1" w:semiHidden="1" w:unhideWhenUsed="1" w:qFormat="1"/>
    <w:lsdException w:name="Title" w:locked="1" w:qFormat="1"/>
    <w:lsdException w:name="Default Paragraph Font" w:semiHidden="1" w:uiPriority="1" w:unhideWhenUsed="1" w:qFormat="1"/>
    <w:lsdException w:name="Body Text" w:uiPriority="1" w:unhideWhenUsed="1" w:qFormat="1"/>
    <w:lsdException w:name="Subtitle" w:locked="1" w:qFormat="1"/>
    <w:lsdException w:name="Body Text First Indent" w:qFormat="1"/>
    <w:lsdException w:name="Body Text Indent 2" w:qFormat="1"/>
    <w:lsdException w:name="Hyperlink" w:qFormat="1"/>
    <w:lsdException w:name="Strong" w:locked="1" w:qFormat="1"/>
    <w:lsdException w:name="Emphasis" w:locked="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lock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autoRedefine/>
    <w:uiPriority w:val="1"/>
    <w:unhideWhenUsed/>
    <w:qFormat/>
    <w:pPr>
      <w:widowControl/>
      <w:spacing w:after="120"/>
      <w:jc w:val="left"/>
    </w:pPr>
    <w:rPr>
      <w:kern w:val="0"/>
      <w:sz w:val="24"/>
    </w:rPr>
  </w:style>
  <w:style w:type="paragraph" w:styleId="2">
    <w:name w:val="Body Text Indent 2"/>
    <w:basedOn w:val="a"/>
    <w:next w:val="a4"/>
    <w:autoRedefine/>
    <w:qFormat/>
    <w:pPr>
      <w:spacing w:after="120" w:line="480" w:lineRule="auto"/>
      <w:ind w:leftChars="200" w:left="420"/>
    </w:pPr>
  </w:style>
  <w:style w:type="paragraph" w:styleId="a4">
    <w:name w:val="Body Text First Indent"/>
    <w:basedOn w:val="a3"/>
    <w:next w:val="a5"/>
    <w:autoRedefine/>
    <w:qFormat/>
    <w:pPr>
      <w:widowControl w:val="0"/>
      <w:ind w:firstLineChars="100" w:firstLine="420"/>
      <w:jc w:val="both"/>
    </w:pPr>
    <w:rPr>
      <w:rFonts w:ascii="Calibri" w:hAnsi="Calibri"/>
      <w:sz w:val="28"/>
      <w:szCs w:val="22"/>
    </w:rPr>
  </w:style>
  <w:style w:type="paragraph" w:customStyle="1" w:styleId="a5">
    <w:name w:val="正文（首行缩进两字）"/>
    <w:next w:val="a"/>
    <w:autoRedefine/>
    <w:qFormat/>
    <w:pPr>
      <w:widowControl w:val="0"/>
      <w:spacing w:line="480" w:lineRule="exact"/>
      <w:jc w:val="both"/>
    </w:pPr>
    <w:rPr>
      <w:rFonts w:ascii="Calibri" w:hAnsi="Calibri"/>
      <w:color w:val="000000"/>
      <w:kern w:val="2"/>
      <w:sz w:val="24"/>
    </w:rPr>
  </w:style>
  <w:style w:type="paragraph" w:styleId="a6">
    <w:name w:val="Balloon Text"/>
    <w:basedOn w:val="a"/>
    <w:link w:val="Char"/>
    <w:autoRedefine/>
    <w:qFormat/>
    <w:rPr>
      <w:sz w:val="18"/>
      <w:szCs w:val="18"/>
    </w:rPr>
  </w:style>
  <w:style w:type="paragraph" w:styleId="a7">
    <w:name w:val="footer"/>
    <w:basedOn w:val="a"/>
    <w:link w:val="Char0"/>
    <w:autoRedefine/>
    <w:qFormat/>
    <w:pPr>
      <w:tabs>
        <w:tab w:val="center" w:pos="4153"/>
        <w:tab w:val="right" w:pos="8306"/>
      </w:tabs>
      <w:snapToGrid w:val="0"/>
      <w:jc w:val="left"/>
    </w:pPr>
    <w:rPr>
      <w:sz w:val="18"/>
      <w:szCs w:val="18"/>
    </w:rPr>
  </w:style>
  <w:style w:type="paragraph" w:styleId="a8">
    <w:name w:val="header"/>
    <w:basedOn w:val="a"/>
    <w:link w:val="Char1"/>
    <w:autoRedefine/>
    <w:qFormat/>
    <w:pPr>
      <w:pBdr>
        <w:bottom w:val="single" w:sz="6" w:space="1" w:color="auto"/>
      </w:pBdr>
      <w:tabs>
        <w:tab w:val="center" w:pos="4153"/>
        <w:tab w:val="right" w:pos="8306"/>
      </w:tabs>
      <w:snapToGrid w:val="0"/>
      <w:jc w:val="center"/>
    </w:pPr>
    <w:rPr>
      <w:sz w:val="18"/>
      <w:szCs w:val="18"/>
    </w:rPr>
  </w:style>
  <w:style w:type="character" w:styleId="a9">
    <w:name w:val="Hyperlink"/>
    <w:basedOn w:val="a0"/>
    <w:autoRedefine/>
    <w:qFormat/>
    <w:rPr>
      <w:color w:val="0000FF"/>
      <w:u w:val="single"/>
    </w:rPr>
  </w:style>
  <w:style w:type="character" w:customStyle="1" w:styleId="Char">
    <w:name w:val="批注框文本 Char"/>
    <w:basedOn w:val="a0"/>
    <w:link w:val="a6"/>
    <w:autoRedefine/>
    <w:qFormat/>
    <w:rPr>
      <w:kern w:val="2"/>
      <w:sz w:val="18"/>
      <w:szCs w:val="18"/>
    </w:rPr>
  </w:style>
  <w:style w:type="paragraph" w:customStyle="1" w:styleId="1">
    <w:name w:val="修订1"/>
    <w:autoRedefine/>
    <w:hidden/>
    <w:uiPriority w:val="99"/>
    <w:semiHidden/>
    <w:qFormat/>
    <w:rPr>
      <w:kern w:val="2"/>
      <w:sz w:val="21"/>
      <w:szCs w:val="24"/>
    </w:rPr>
  </w:style>
  <w:style w:type="character" w:customStyle="1" w:styleId="Char1">
    <w:name w:val="页眉 Char"/>
    <w:basedOn w:val="a0"/>
    <w:link w:val="a8"/>
    <w:autoRedefine/>
    <w:qFormat/>
    <w:rPr>
      <w:kern w:val="2"/>
      <w:sz w:val="18"/>
      <w:szCs w:val="18"/>
    </w:rPr>
  </w:style>
  <w:style w:type="character" w:customStyle="1" w:styleId="Char0">
    <w:name w:val="页脚 Char"/>
    <w:basedOn w:val="a0"/>
    <w:link w:val="a7"/>
    <w:autoRedefine/>
    <w:qFormat/>
    <w:rPr>
      <w:kern w:val="2"/>
      <w:sz w:val="18"/>
      <w:szCs w:val="18"/>
    </w:rPr>
  </w:style>
  <w:style w:type="character" w:customStyle="1" w:styleId="font41">
    <w:name w:val="font41"/>
    <w:basedOn w:val="a0"/>
    <w:autoRedefine/>
    <w:qFormat/>
    <w:rPr>
      <w:rFonts w:ascii="宋体" w:eastAsia="宋体" w:hAnsi="宋体" w:cs="宋体" w:hint="eastAsia"/>
      <w:color w:val="000000"/>
      <w:sz w:val="22"/>
      <w:szCs w:val="22"/>
      <w:u w:val="none"/>
    </w:rPr>
  </w:style>
  <w:style w:type="character" w:customStyle="1" w:styleId="font11">
    <w:name w:val="font11"/>
    <w:basedOn w:val="a0"/>
    <w:autoRedefine/>
    <w:qFormat/>
    <w:rPr>
      <w:rFonts w:ascii="Times New Roman" w:hAnsi="Times New Roman" w:cs="Times New Roman" w:hint="default"/>
      <w:color w:val="000000"/>
      <w:sz w:val="22"/>
      <w:szCs w:val="22"/>
      <w:u w:val="none"/>
    </w:rPr>
  </w:style>
  <w:style w:type="character" w:customStyle="1" w:styleId="font21">
    <w:name w:val="font21"/>
    <w:basedOn w:val="a0"/>
    <w:qFormat/>
    <w:rPr>
      <w:rFonts w:ascii="Times New Roman" w:hAnsi="Times New Roman" w:cs="Times New Roman" w:hint="default"/>
      <w:color w:val="000000"/>
      <w:sz w:val="22"/>
      <w:szCs w:val="22"/>
      <w:u w:val="none"/>
    </w:rPr>
  </w:style>
  <w:style w:type="character" w:customStyle="1" w:styleId="font31">
    <w:name w:val="font31"/>
    <w:basedOn w:val="a0"/>
    <w:autoRedefine/>
    <w:qFormat/>
    <w:rPr>
      <w:rFonts w:ascii="宋体" w:eastAsia="宋体" w:hAnsi="宋体" w:cs="宋体" w:hint="eastAsia"/>
      <w:color w:val="000000"/>
      <w:sz w:val="22"/>
      <w:szCs w:val="22"/>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28</Pages>
  <Words>2989</Words>
  <Characters>17039</Characters>
  <Application>Microsoft Office Word</Application>
  <DocSecurity>0</DocSecurity>
  <Lines>141</Lines>
  <Paragraphs>39</Paragraphs>
  <ScaleCrop>false</ScaleCrop>
  <Company>Sky123.Org</Company>
  <LinksUpToDate>false</LinksUpToDate>
  <CharactersWithSpaces>19989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中国钢铁工业清洁生产环境友好奖</dc:title>
  <dc:creator>cisa-lat1xxa7xe</dc:creator>
  <cp:lastModifiedBy>李磊磊</cp:lastModifiedBy>
  <cp:revision>22</cp:revision>
  <cp:lastPrinted>2020-08-13T08:39:00Z</cp:lastPrinted>
  <dcterms:created xsi:type="dcterms:W3CDTF">2020-08-20T03:04:00Z</dcterms:created>
  <dcterms:modified xsi:type="dcterms:W3CDTF">2024-08-23T08:27:00Z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F5553DC9F89346E0A0843D4E9184C297_12</vt:lpwstr>
  </property>
</Properties>
</file>