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5A0" w:rsidRDefault="001D65A0" w:rsidP="001D65A0">
      <w:pPr>
        <w:snapToGrid w:val="0"/>
        <w:spacing w:beforeLines="50" w:before="156" w:afterLines="50" w:after="156"/>
        <w:jc w:val="center"/>
        <w:rPr>
          <w:rFonts w:ascii="方正小标宋简体" w:eastAsia="方正小标宋简体" w:cs="宋体"/>
          <w:bCs/>
          <w:sz w:val="44"/>
          <w:szCs w:val="44"/>
        </w:rPr>
      </w:pPr>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1D65A0" w:rsidRDefault="001D65A0" w:rsidP="001D65A0">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1D65A0" w:rsidTr="00790A81">
        <w:trPr>
          <w:trHeight w:val="602"/>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企业名称</w:t>
            </w:r>
          </w:p>
        </w:tc>
        <w:tc>
          <w:tcPr>
            <w:tcW w:w="7798" w:type="dxa"/>
            <w:gridSpan w:val="3"/>
            <w:vAlign w:val="center"/>
          </w:tcPr>
          <w:p w:rsidR="001D65A0" w:rsidRDefault="001D65A0" w:rsidP="00790A81">
            <w:pPr>
              <w:jc w:val="center"/>
              <w:rPr>
                <w:rFonts w:ascii="宋体"/>
                <w:sz w:val="24"/>
              </w:rPr>
            </w:pPr>
            <w:r>
              <w:rPr>
                <w:rFonts w:ascii="宋体" w:hint="eastAsia"/>
                <w:sz w:val="24"/>
              </w:rPr>
              <w:t>新余钢铁集团有限公司</w:t>
            </w:r>
          </w:p>
        </w:tc>
      </w:tr>
      <w:tr w:rsidR="001D65A0" w:rsidTr="00790A81">
        <w:trPr>
          <w:cantSplit/>
          <w:trHeight w:val="603"/>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母公司</w:t>
            </w:r>
          </w:p>
        </w:tc>
        <w:tc>
          <w:tcPr>
            <w:tcW w:w="7798" w:type="dxa"/>
            <w:gridSpan w:val="3"/>
            <w:vAlign w:val="center"/>
          </w:tcPr>
          <w:p w:rsidR="001D65A0" w:rsidRDefault="001D65A0" w:rsidP="00790A81">
            <w:pPr>
              <w:jc w:val="center"/>
              <w:rPr>
                <w:rFonts w:ascii="宋体"/>
              </w:rPr>
            </w:pPr>
            <w:r>
              <w:rPr>
                <w:rFonts w:ascii="宋体"/>
              </w:rPr>
              <w:t>中国宝武钢铁集团有限公司</w:t>
            </w:r>
          </w:p>
        </w:tc>
      </w:tr>
      <w:tr w:rsidR="001D65A0" w:rsidTr="00790A81">
        <w:trPr>
          <w:cantSplit/>
          <w:trHeight w:val="603"/>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法定代表人</w:t>
            </w:r>
          </w:p>
        </w:tc>
        <w:tc>
          <w:tcPr>
            <w:tcW w:w="3180" w:type="dxa"/>
            <w:vAlign w:val="center"/>
          </w:tcPr>
          <w:p w:rsidR="001D65A0" w:rsidRDefault="001D65A0" w:rsidP="00790A81">
            <w:pPr>
              <w:jc w:val="center"/>
              <w:rPr>
                <w:rFonts w:ascii="宋体"/>
                <w:sz w:val="24"/>
              </w:rPr>
            </w:pPr>
          </w:p>
        </w:tc>
        <w:tc>
          <w:tcPr>
            <w:tcW w:w="1680" w:type="dxa"/>
            <w:vAlign w:val="center"/>
          </w:tcPr>
          <w:p w:rsidR="001D65A0" w:rsidRDefault="001D65A0" w:rsidP="00790A81">
            <w:pPr>
              <w:jc w:val="center"/>
              <w:rPr>
                <w:rFonts w:ascii="宋体"/>
                <w:sz w:val="24"/>
              </w:rPr>
            </w:pPr>
            <w:r>
              <w:rPr>
                <w:rFonts w:ascii="宋体" w:hAnsi="宋体" w:cs="宋体" w:hint="eastAsia"/>
                <w:sz w:val="24"/>
              </w:rPr>
              <w:t>职　　务</w:t>
            </w:r>
          </w:p>
        </w:tc>
        <w:tc>
          <w:tcPr>
            <w:tcW w:w="2938" w:type="dxa"/>
            <w:vAlign w:val="center"/>
          </w:tcPr>
          <w:p w:rsidR="001D65A0" w:rsidRDefault="001D65A0" w:rsidP="00790A81">
            <w:pPr>
              <w:jc w:val="center"/>
              <w:rPr>
                <w:rFonts w:ascii="宋体"/>
                <w:sz w:val="24"/>
              </w:rPr>
            </w:pPr>
          </w:p>
        </w:tc>
      </w:tr>
      <w:tr w:rsidR="001D65A0" w:rsidTr="00790A81">
        <w:trPr>
          <w:cantSplit/>
          <w:trHeight w:val="603"/>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联系部门</w:t>
            </w:r>
          </w:p>
        </w:tc>
        <w:tc>
          <w:tcPr>
            <w:tcW w:w="3180" w:type="dxa"/>
            <w:vAlign w:val="center"/>
          </w:tcPr>
          <w:p w:rsidR="001D65A0" w:rsidRDefault="001D65A0" w:rsidP="00790A81">
            <w:pPr>
              <w:jc w:val="center"/>
              <w:rPr>
                <w:rFonts w:ascii="宋体"/>
                <w:sz w:val="24"/>
              </w:rPr>
            </w:pPr>
          </w:p>
        </w:tc>
        <w:tc>
          <w:tcPr>
            <w:tcW w:w="1680" w:type="dxa"/>
            <w:vAlign w:val="center"/>
          </w:tcPr>
          <w:p w:rsidR="001D65A0" w:rsidRDefault="001D65A0" w:rsidP="00790A81">
            <w:pPr>
              <w:jc w:val="center"/>
              <w:rPr>
                <w:rFonts w:ascii="宋体"/>
                <w:sz w:val="24"/>
              </w:rPr>
            </w:pPr>
            <w:r>
              <w:rPr>
                <w:rFonts w:ascii="宋体" w:hAnsi="宋体" w:cs="宋体" w:hint="eastAsia"/>
                <w:sz w:val="24"/>
              </w:rPr>
              <w:t>联系人</w:t>
            </w:r>
          </w:p>
        </w:tc>
        <w:tc>
          <w:tcPr>
            <w:tcW w:w="2938" w:type="dxa"/>
            <w:vAlign w:val="center"/>
          </w:tcPr>
          <w:p w:rsidR="001D65A0" w:rsidRDefault="001D65A0" w:rsidP="00790A81">
            <w:pPr>
              <w:jc w:val="center"/>
              <w:rPr>
                <w:rFonts w:ascii="宋体"/>
                <w:sz w:val="24"/>
              </w:rPr>
            </w:pPr>
          </w:p>
        </w:tc>
      </w:tr>
      <w:tr w:rsidR="001D65A0" w:rsidTr="00790A81">
        <w:trPr>
          <w:cantSplit/>
          <w:trHeight w:val="603"/>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联系人职务</w:t>
            </w:r>
          </w:p>
        </w:tc>
        <w:tc>
          <w:tcPr>
            <w:tcW w:w="3180" w:type="dxa"/>
            <w:vAlign w:val="center"/>
          </w:tcPr>
          <w:p w:rsidR="001D65A0" w:rsidRDefault="001D65A0" w:rsidP="00790A81">
            <w:pPr>
              <w:jc w:val="center"/>
              <w:rPr>
                <w:rFonts w:ascii="宋体"/>
                <w:sz w:val="24"/>
              </w:rPr>
            </w:pPr>
          </w:p>
        </w:tc>
        <w:tc>
          <w:tcPr>
            <w:tcW w:w="1680" w:type="dxa"/>
            <w:vAlign w:val="center"/>
          </w:tcPr>
          <w:p w:rsidR="001D65A0" w:rsidRDefault="001D65A0" w:rsidP="00790A81">
            <w:pPr>
              <w:jc w:val="center"/>
              <w:rPr>
                <w:rFonts w:ascii="宋体"/>
                <w:sz w:val="24"/>
              </w:rPr>
            </w:pPr>
            <w:r>
              <w:rPr>
                <w:rFonts w:ascii="宋体" w:hAnsi="宋体" w:cs="宋体" w:hint="eastAsia"/>
                <w:sz w:val="24"/>
              </w:rPr>
              <w:t>联系人座机</w:t>
            </w:r>
          </w:p>
        </w:tc>
        <w:tc>
          <w:tcPr>
            <w:tcW w:w="2938" w:type="dxa"/>
            <w:vAlign w:val="center"/>
          </w:tcPr>
          <w:p w:rsidR="001D65A0" w:rsidRDefault="001D65A0" w:rsidP="00790A81">
            <w:pPr>
              <w:jc w:val="center"/>
              <w:rPr>
                <w:rFonts w:ascii="宋体"/>
                <w:sz w:val="24"/>
              </w:rPr>
            </w:pPr>
          </w:p>
        </w:tc>
      </w:tr>
      <w:tr w:rsidR="001D65A0" w:rsidTr="00790A81">
        <w:trPr>
          <w:cantSplit/>
          <w:trHeight w:val="603"/>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联系人手机</w:t>
            </w:r>
          </w:p>
        </w:tc>
        <w:tc>
          <w:tcPr>
            <w:tcW w:w="3180" w:type="dxa"/>
            <w:vAlign w:val="center"/>
          </w:tcPr>
          <w:p w:rsidR="001D65A0" w:rsidRDefault="001D65A0" w:rsidP="00790A81">
            <w:pPr>
              <w:jc w:val="center"/>
              <w:rPr>
                <w:rFonts w:ascii="宋体"/>
                <w:sz w:val="24"/>
              </w:rPr>
            </w:pPr>
          </w:p>
        </w:tc>
        <w:tc>
          <w:tcPr>
            <w:tcW w:w="1680" w:type="dxa"/>
            <w:vAlign w:val="center"/>
          </w:tcPr>
          <w:p w:rsidR="001D65A0" w:rsidRDefault="001D65A0" w:rsidP="00790A8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1D65A0" w:rsidRDefault="001D65A0" w:rsidP="00790A81">
            <w:pPr>
              <w:jc w:val="center"/>
              <w:rPr>
                <w:rFonts w:ascii="宋体" w:hAnsi="宋体" w:cs="宋体"/>
                <w:sz w:val="24"/>
              </w:rPr>
            </w:pPr>
          </w:p>
        </w:tc>
      </w:tr>
      <w:tr w:rsidR="001D65A0" w:rsidTr="00790A81">
        <w:trPr>
          <w:trHeight w:val="921"/>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通讯地址及邮政编码</w:t>
            </w:r>
          </w:p>
        </w:tc>
        <w:tc>
          <w:tcPr>
            <w:tcW w:w="7798" w:type="dxa"/>
            <w:gridSpan w:val="3"/>
            <w:vAlign w:val="center"/>
          </w:tcPr>
          <w:p w:rsidR="001D65A0" w:rsidRDefault="001D65A0" w:rsidP="001D65A0">
            <w:pPr>
              <w:rPr>
                <w:rFonts w:ascii="宋体"/>
                <w:sz w:val="24"/>
              </w:rPr>
            </w:pPr>
            <w:bookmarkStart w:id="0" w:name="_GoBack"/>
            <w:bookmarkEnd w:id="0"/>
          </w:p>
        </w:tc>
      </w:tr>
      <w:tr w:rsidR="001D65A0" w:rsidTr="00790A81">
        <w:trPr>
          <w:trHeight w:val="6370"/>
          <w:jc w:val="center"/>
        </w:trPr>
        <w:tc>
          <w:tcPr>
            <w:tcW w:w="1520" w:type="dxa"/>
            <w:vAlign w:val="center"/>
          </w:tcPr>
          <w:p w:rsidR="001D65A0" w:rsidRDefault="001D65A0" w:rsidP="00790A81">
            <w:pPr>
              <w:jc w:val="center"/>
              <w:rPr>
                <w:rFonts w:ascii="宋体"/>
                <w:sz w:val="24"/>
              </w:rPr>
            </w:pPr>
            <w:r>
              <w:rPr>
                <w:rFonts w:ascii="宋体" w:hAnsi="宋体" w:cs="宋体" w:hint="eastAsia"/>
                <w:sz w:val="24"/>
              </w:rPr>
              <w:t>声</w:t>
            </w:r>
          </w:p>
          <w:p w:rsidR="001D65A0" w:rsidRDefault="001D65A0" w:rsidP="00790A81">
            <w:pPr>
              <w:jc w:val="center"/>
              <w:rPr>
                <w:rFonts w:ascii="宋体"/>
                <w:sz w:val="24"/>
              </w:rPr>
            </w:pPr>
          </w:p>
          <w:p w:rsidR="001D65A0" w:rsidRDefault="001D65A0" w:rsidP="00790A81">
            <w:pPr>
              <w:jc w:val="center"/>
              <w:rPr>
                <w:rFonts w:ascii="宋体"/>
                <w:sz w:val="24"/>
              </w:rPr>
            </w:pPr>
          </w:p>
          <w:p w:rsidR="001D65A0" w:rsidRDefault="001D65A0" w:rsidP="00790A81">
            <w:pPr>
              <w:jc w:val="center"/>
              <w:rPr>
                <w:rFonts w:ascii="宋体"/>
                <w:sz w:val="24"/>
              </w:rPr>
            </w:pPr>
            <w:r>
              <w:rPr>
                <w:rFonts w:ascii="宋体" w:hAnsi="宋体" w:cs="宋体" w:hint="eastAsia"/>
                <w:sz w:val="24"/>
              </w:rPr>
              <w:t>明</w:t>
            </w:r>
          </w:p>
        </w:tc>
        <w:tc>
          <w:tcPr>
            <w:tcW w:w="7798" w:type="dxa"/>
            <w:gridSpan w:val="3"/>
            <w:vAlign w:val="center"/>
          </w:tcPr>
          <w:p w:rsidR="001D65A0" w:rsidRDefault="001D65A0" w:rsidP="00790A81">
            <w:pPr>
              <w:snapToGrid w:val="0"/>
              <w:spacing w:line="440" w:lineRule="atLeast"/>
              <w:rPr>
                <w:rFonts w:ascii="宋体" w:cs="宋体"/>
                <w:sz w:val="30"/>
                <w:szCs w:val="30"/>
              </w:rPr>
            </w:pPr>
          </w:p>
          <w:p w:rsidR="001D65A0" w:rsidRDefault="001D65A0" w:rsidP="00790A81">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1D65A0" w:rsidRDefault="001D65A0" w:rsidP="00790A81">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1D65A0" w:rsidRDefault="001D65A0" w:rsidP="00790A81">
            <w:pPr>
              <w:snapToGrid w:val="0"/>
              <w:spacing w:line="440" w:lineRule="atLeast"/>
              <w:jc w:val="center"/>
              <w:rPr>
                <w:rFonts w:ascii="仿宋_GB2312" w:eastAsia="仿宋_GB2312"/>
                <w:sz w:val="30"/>
                <w:szCs w:val="30"/>
              </w:rPr>
            </w:pPr>
          </w:p>
          <w:p w:rsidR="001D65A0" w:rsidRDefault="001D65A0" w:rsidP="00790A81">
            <w:pPr>
              <w:snapToGrid w:val="0"/>
              <w:spacing w:line="440" w:lineRule="atLeast"/>
              <w:jc w:val="center"/>
              <w:rPr>
                <w:rFonts w:ascii="仿宋_GB2312" w:eastAsia="仿宋_GB2312"/>
                <w:sz w:val="30"/>
                <w:szCs w:val="30"/>
              </w:rPr>
            </w:pPr>
          </w:p>
          <w:p w:rsidR="001D65A0" w:rsidRDefault="001D65A0" w:rsidP="00790A81">
            <w:pPr>
              <w:snapToGrid w:val="0"/>
              <w:spacing w:line="440" w:lineRule="atLeast"/>
              <w:jc w:val="center"/>
              <w:rPr>
                <w:rFonts w:ascii="仿宋_GB2312" w:eastAsia="仿宋_GB2312"/>
                <w:sz w:val="30"/>
                <w:szCs w:val="30"/>
              </w:rPr>
            </w:pPr>
          </w:p>
          <w:p w:rsidR="001D65A0" w:rsidRDefault="001D65A0" w:rsidP="00790A81">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1D65A0" w:rsidRDefault="001D65A0" w:rsidP="00790A81">
            <w:pPr>
              <w:snapToGrid w:val="0"/>
              <w:spacing w:line="440" w:lineRule="atLeast"/>
              <w:jc w:val="center"/>
              <w:rPr>
                <w:rFonts w:ascii="仿宋_GB2312" w:eastAsia="仿宋_GB2312" w:cs="宋体"/>
                <w:sz w:val="30"/>
                <w:szCs w:val="30"/>
              </w:rPr>
            </w:pPr>
          </w:p>
          <w:p w:rsidR="001D65A0" w:rsidRDefault="001D65A0" w:rsidP="00790A81">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1D65A0" w:rsidRDefault="001D65A0" w:rsidP="00790A81">
            <w:pPr>
              <w:snapToGrid w:val="0"/>
              <w:spacing w:line="440" w:lineRule="atLeast"/>
              <w:jc w:val="center"/>
              <w:rPr>
                <w:rFonts w:ascii="仿宋_GB2312" w:eastAsia="仿宋_GB2312" w:hAnsi="宋体" w:cs="宋体"/>
                <w:sz w:val="30"/>
                <w:szCs w:val="30"/>
              </w:rPr>
            </w:pPr>
          </w:p>
          <w:p w:rsidR="001D65A0" w:rsidRDefault="001D65A0" w:rsidP="001D65A0">
            <w:pPr>
              <w:wordWrap w:val="0"/>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1D65A0" w:rsidRDefault="001D65A0" w:rsidP="00790A81">
            <w:pPr>
              <w:jc w:val="center"/>
              <w:rPr>
                <w:rFonts w:ascii="宋体"/>
                <w:sz w:val="24"/>
              </w:rPr>
            </w:pPr>
          </w:p>
        </w:tc>
      </w:tr>
    </w:tbl>
    <w:p w:rsidR="0062660B" w:rsidRDefault="005F1973" w:rsidP="001D65A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0"/>
      </w:tblGrid>
      <w:tr w:rsidR="0062660B">
        <w:trPr>
          <w:trHeight w:val="12752"/>
          <w:jc w:val="center"/>
        </w:trPr>
        <w:tc>
          <w:tcPr>
            <w:tcW w:w="5000" w:type="pct"/>
          </w:tcPr>
          <w:p w:rsidR="0062660B" w:rsidRDefault="005F1973">
            <w:pPr>
              <w:rPr>
                <w:rFonts w:ascii="方正姚体" w:eastAsia="方正姚体"/>
                <w:sz w:val="28"/>
                <w:szCs w:val="28"/>
              </w:rPr>
            </w:pPr>
            <w:r>
              <w:rPr>
                <w:rFonts w:ascii="方正姚体" w:eastAsia="方正姚体" w:cs="方正姚体" w:hint="eastAsia"/>
                <w:b/>
                <w:bCs/>
                <w:sz w:val="24"/>
              </w:rPr>
              <w:t>基本情况</w:t>
            </w:r>
          </w:p>
          <w:p w:rsidR="0062660B" w:rsidRDefault="005F1973">
            <w:pPr>
              <w:ind w:firstLineChars="200" w:firstLine="482"/>
              <w:rPr>
                <w:rFonts w:ascii="仿宋_GB2312" w:eastAsia="仿宋_GB2312" w:cs="黑体"/>
                <w:b/>
                <w:bCs/>
                <w:sz w:val="24"/>
              </w:rPr>
            </w:pPr>
            <w:r>
              <w:rPr>
                <w:rFonts w:ascii="仿宋_GB2312" w:eastAsia="仿宋_GB2312" w:hAnsi="宋体" w:cs="黑体" w:hint="eastAsia"/>
                <w:b/>
                <w:bCs/>
                <w:sz w:val="24"/>
              </w:rPr>
              <w:t>一、企业简介</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新余钢铁集团有限公司位于江西省新余市，北依浙赣线，东南濒赣江支流袁河，公司始建于1958年，1994年6月30日改制为国有独资公司，2009年12月挂牌成立新余钢铁集团有限公司。新余钢铁集团有限公司（以下简称新钢）是一家产能达千万吨的大型国有钢铁联合企业、江西省工业骨干企业。现有资产总值619亿元，在岗员工1.678万人，其中本科以上3775人。下属上市公司1家，直属及参控股企业78家。2022年产钢1000.98万吨，实现营收1020亿元。在新出炉的2023中国企业500强排名中位列第248位、中国制造业企业500强第122位。2023年产钢948.54万吨，实现营业收入704.30亿元、利润7.18亿元，经济效益位列行业第一方阵。</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2022年11月9日，国务院国资委批复新钢与宝武联合重组；12月23日，完成股东工商变更登记，宝武正式成为新钢控股股东（中国宝武持股51%，江西国控持股49%），新钢成为宝武一级子企业。</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新钢经过60余年的发展，成为集矿石采选、钢铁冶炼、钢材轧制及延伸加工于一体，拥有普钢、特钢、金属制品、钢结构、化工制品产品系列共800多个品种、3000多个规格的生产制造企业。公司板材生产能力达到700万吨/年，厚度覆盖0.15mm-380mm。新钢主体装备全部符合国家产业政策要求，主要包括360m</w:t>
            </w:r>
            <w:r>
              <w:rPr>
                <w:rFonts w:ascii="仿宋_GB2312" w:eastAsia="仿宋_GB2312" w:hAnsi="宋体" w:cs="黑体" w:hint="eastAsia"/>
                <w:sz w:val="24"/>
                <w:vertAlign w:val="superscript"/>
              </w:rPr>
              <w:t>2</w:t>
            </w:r>
            <w:r>
              <w:rPr>
                <w:rFonts w:ascii="仿宋_GB2312" w:eastAsia="仿宋_GB2312" w:hAnsi="宋体" w:cs="黑体" w:hint="eastAsia"/>
                <w:sz w:val="24"/>
              </w:rPr>
              <w:t>烧结机、2500m</w:t>
            </w:r>
            <w:r>
              <w:rPr>
                <w:rFonts w:ascii="仿宋_GB2312" w:eastAsia="仿宋_GB2312" w:hAnsi="宋体" w:cs="黑体" w:hint="eastAsia"/>
                <w:sz w:val="24"/>
                <w:vertAlign w:val="superscript"/>
              </w:rPr>
              <w:t>3</w:t>
            </w:r>
            <w:r>
              <w:rPr>
                <w:rFonts w:ascii="仿宋_GB2312" w:eastAsia="仿宋_GB2312" w:hAnsi="宋体" w:cs="黑体" w:hint="eastAsia"/>
                <w:sz w:val="24"/>
              </w:rPr>
              <w:t>高炉、210t顶底复吹氧气转炉、105m/s高速线材、3800mm宽度厚板轧机和1580mm热卷、1550mm冷连轧、高牌号电工钢、优特钢带等生产线。公司具有较强的科技创新能力，属“国家高新技术企业”，先后四次获得国家科技进步二等奖，拥有国家企业技术中心、国家认可实验室、院士工作站、博士后工作站以及江西省船用钢工程技术研究中心等多个科技创新平台。公司产品开发能力强劲，成功开发了海洋工程用钢、IF钢、临氢钢、低温移动式罐车用钢、耐磨钢、模具钢、汽车用钢、高牌号冷轧电工钢、稀土钢等几十类高端产品，广泛运用于石油石化、大型桥梁、军用船舶、核能电厂、航空航天等国家重点工程，远销20多个国家和地区。</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新钢加入宝武后，积极融入宝武发展战略，坚决落实集团公司提出的“新钢要勇担宝武承接国家战略使命排头兵和改革创新标兵”要求，提出“打造精品硅钢和高品质厚板全球双一流示范企业”战略目标，积极引入宝武商业计划书、全面对标找差、双基管理、机构整合、全员绩效管理、企业文化等先进管理工具，融入对接宝武“一基五元”产业体系。</w:t>
            </w:r>
          </w:p>
          <w:p w:rsidR="0062660B" w:rsidRDefault="005F1973">
            <w:pPr>
              <w:ind w:firstLineChars="200" w:firstLine="482"/>
              <w:rPr>
                <w:rFonts w:ascii="仿宋_GB2312" w:eastAsia="仿宋_GB2312" w:hAnsi="宋体" w:cs="黑体"/>
                <w:b/>
                <w:bCs/>
                <w:sz w:val="24"/>
              </w:rPr>
            </w:pPr>
            <w:r>
              <w:rPr>
                <w:rFonts w:ascii="仿宋_GB2312" w:eastAsia="仿宋_GB2312" w:hAnsi="宋体" w:cs="黑体" w:hint="eastAsia"/>
                <w:b/>
                <w:bCs/>
                <w:sz w:val="24"/>
              </w:rPr>
              <w:t>二、清洁生产工作方面</w:t>
            </w:r>
          </w:p>
          <w:p w:rsidR="0062660B" w:rsidRDefault="005F1973">
            <w:pPr>
              <w:ind w:firstLineChars="200" w:firstLine="480"/>
              <w:rPr>
                <w:rFonts w:ascii="仿宋_GB2312" w:eastAsia="仿宋_GB2312" w:hAnsi="宋体" w:cs="黑体"/>
                <w:sz w:val="24"/>
                <w:highlight w:val="yellow"/>
              </w:rPr>
            </w:pPr>
            <w:r>
              <w:rPr>
                <w:rFonts w:ascii="楷体" w:eastAsia="楷体" w:hAnsi="楷体" w:cs="楷体" w:hint="eastAsia"/>
                <w:sz w:val="24"/>
              </w:rPr>
              <w:t>1、是否建立完善、有效的环境管理制度体系</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（1）环保管理体系认证情况</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按照ISO14001系列（2015年）、ISO50001系列（2016年）标准，建立了GB/T24001-2016环境管理体系，并通过第三方认证，现行有效，严格执行。</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（2）环保管理机构设置情况</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建立“公司主管领导-公司专业管理部门-各二级单位主管领导”环保管理三级网络组织机构。成立了由公司领导班子担任主任、副主任，单位及部门负责人为成员的生态环境保护委员会，全面领导公司环境保护工作。公司设有能源环保部，负责能源环保综合管理、低碳管理、能源生产等公司日常能源环保工作。</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（3）环保管理体系运行及效果</w:t>
            </w:r>
          </w:p>
          <w:p w:rsidR="0062660B" w:rsidRDefault="005F1973">
            <w:pPr>
              <w:ind w:firstLineChars="200" w:firstLine="480"/>
            </w:pPr>
            <w:r>
              <w:rPr>
                <w:rFonts w:ascii="仿宋_GB2312" w:eastAsia="仿宋_GB2312" w:hAnsi="仿宋_GB2312" w:cs="仿宋_GB2312" w:hint="eastAsia"/>
                <w:sz w:val="24"/>
                <w:lang w:bidi="ar"/>
              </w:rPr>
              <w:t>认真贯彻执行环保管理体系标准，</w:t>
            </w:r>
            <w:r>
              <w:rPr>
                <w:rFonts w:ascii="仿宋_GB2312" w:eastAsia="仿宋_GB2312" w:hAnsi="仿宋_GB2312" w:cs="仿宋_GB2312" w:hint="eastAsia"/>
                <w:sz w:val="24"/>
              </w:rPr>
              <w:t>全面梳理了环保管理体系文件，进一步理清和优化各部门能源环保责任和分工，建立健全各项规章制度，做到有章可循有规可依，实现可操作性强的管理体系</w:t>
            </w:r>
            <w:r>
              <w:rPr>
                <w:rFonts w:ascii="仿宋_GB2312" w:eastAsia="仿宋_GB2312" w:hAnsi="仿宋_GB2312" w:cs="仿宋_GB2312" w:hint="eastAsia"/>
                <w:sz w:val="24"/>
                <w:lang w:bidi="ar"/>
              </w:rPr>
              <w:t>。目前制定环保管理体系文件13个，包括《环境因素识别与评价管理办法》、《污染源管理办法》、《固体废物管理办法》、《环保事件问责管理办法》等。新钢接入了宝武集团的风险平台系统，接入42套烟气、1套废水等在线监测数据，各项污染物稳定达标排放。</w:t>
            </w:r>
          </w:p>
          <w:p w:rsidR="0062660B" w:rsidRDefault="005F1973">
            <w:pPr>
              <w:ind w:firstLineChars="200" w:firstLine="480"/>
              <w:rPr>
                <w:rFonts w:ascii="仿宋_GB2312" w:eastAsia="仿宋_GB2312" w:hAnsi="宋体" w:cs="黑体"/>
                <w:sz w:val="24"/>
                <w:highlight w:val="yellow"/>
              </w:rPr>
            </w:pPr>
            <w:r>
              <w:rPr>
                <w:rFonts w:ascii="楷体" w:eastAsia="楷体" w:hAnsi="楷体" w:cs="楷体" w:hint="eastAsia"/>
                <w:sz w:val="24"/>
              </w:rPr>
              <w:t>2、企业清洁生产技术创新（研发和使用）及实施效果</w:t>
            </w:r>
          </w:p>
          <w:p w:rsidR="0062660B" w:rsidRDefault="005F1973">
            <w:pPr>
              <w:widowControl/>
              <w:ind w:firstLineChars="200" w:firstLine="480"/>
              <w:jc w:val="left"/>
              <w:rPr>
                <w:rFonts w:ascii="仿宋_GB2312" w:eastAsia="仿宋_GB2312" w:cs="仿宋_GB2312"/>
                <w:sz w:val="24"/>
                <w:lang w:bidi="ar"/>
              </w:rPr>
            </w:pPr>
            <w:r>
              <w:rPr>
                <w:rFonts w:ascii="仿宋_GB2312" w:eastAsia="仿宋_GB2312" w:cs="仿宋_GB2312" w:hint="eastAsia"/>
                <w:sz w:val="24"/>
                <w:lang w:bidi="ar"/>
              </w:rPr>
              <w:t>新钢将绿色发展融入生产全过程，积极推进</w:t>
            </w:r>
            <w:r>
              <w:rPr>
                <w:rFonts w:ascii="仿宋_GB2312" w:eastAsia="仿宋_GB2312" w:cs="仿宋_GB2312"/>
                <w:sz w:val="24"/>
                <w:lang w:bidi="ar"/>
              </w:rPr>
              <w:t>绿色产品研发和绿色制造技术创新</w:t>
            </w:r>
            <w:r>
              <w:rPr>
                <w:rFonts w:ascii="仿宋_GB2312" w:eastAsia="仿宋_GB2312" w:cs="仿宋_GB2312" w:hint="eastAsia"/>
                <w:sz w:val="24"/>
                <w:lang w:bidi="ar"/>
              </w:rPr>
              <w:t>。</w:t>
            </w:r>
          </w:p>
          <w:p w:rsidR="0062660B" w:rsidRDefault="005F1973">
            <w:pPr>
              <w:widowControl/>
              <w:ind w:firstLineChars="200" w:firstLine="480"/>
              <w:jc w:val="left"/>
              <w:rPr>
                <w:rFonts w:ascii="宋体" w:hAnsi="宋体" w:cs="宋体"/>
                <w:kern w:val="0"/>
                <w:sz w:val="24"/>
                <w:lang w:bidi="ar"/>
              </w:rPr>
            </w:pPr>
            <w:r>
              <w:rPr>
                <w:rFonts w:ascii="仿宋_GB2312" w:eastAsia="仿宋_GB2312" w:cs="仿宋_GB2312" w:hint="eastAsia"/>
                <w:sz w:val="24"/>
                <w:lang w:bidi="ar"/>
              </w:rPr>
              <w:t>2023年，新钢联合中钢集团天澄环保科技股份有限公司历经多年实验室研究和热态工业化试验，成功建成全球首台套大型烧结机头烟气袋式除尘工程示范，并先后在山钢莱芜钢铁、盛隆钢铁等大中型烧结机头烟气除尘中应用，实现综合能耗降低40%以上，低于超低排放要求。项目攻克了烧结行业机头无法使用袋式除尘的“世界难题”，形成了自主产权的原创技术和装备，是我国大气环保领域颠覆性技术创新，相关技术成果整体达到国际领先水平，引领了全球烧结行业除尘技术发展方向。</w:t>
            </w:r>
            <w:r>
              <w:rPr>
                <w:rFonts w:ascii="宋体" w:hAnsi="宋体" w:cs="宋体"/>
                <w:kern w:val="0"/>
                <w:sz w:val="24"/>
                <w:lang w:bidi="ar"/>
              </w:rPr>
              <w:t xml:space="preserve"> </w:t>
            </w:r>
          </w:p>
          <w:p w:rsidR="0062660B" w:rsidRDefault="005F1973">
            <w:pPr>
              <w:widowControl/>
              <w:ind w:firstLineChars="200" w:firstLine="480"/>
              <w:jc w:val="left"/>
              <w:rPr>
                <w:rFonts w:ascii="仿宋_GB2312" w:eastAsia="仿宋_GB2312" w:cs="仿宋_GB2312"/>
                <w:sz w:val="24"/>
                <w:lang w:bidi="ar"/>
              </w:rPr>
            </w:pPr>
            <w:r>
              <w:rPr>
                <w:rFonts w:ascii="仿宋_GB2312" w:eastAsia="仿宋_GB2312" w:cs="仿宋_GB2312" w:hint="eastAsia"/>
                <w:sz w:val="24"/>
                <w:lang w:bidi="ar"/>
              </w:rPr>
              <w:t>烧结机头（球团）烟气袋式除尘技术与应用项目成果获授权发明专利7项、实用新型专利1项、软件著作权2项，并经中国金属学会评价委员会专家认为，该技术成果整体达到国际领先水平。同时荣获宝武集团“2023年中国宝武技术创新重大成果奖”一等奖。</w:t>
            </w:r>
          </w:p>
          <w:p w:rsidR="0062660B" w:rsidRDefault="005F1973">
            <w:pPr>
              <w:ind w:firstLineChars="200" w:firstLine="480"/>
              <w:rPr>
                <w:rFonts w:ascii="仿宋_GB2312" w:eastAsia="仿宋_GB2312" w:hAnsi="宋体" w:cs="黑体"/>
                <w:sz w:val="24"/>
                <w:highlight w:val="yellow"/>
              </w:rPr>
            </w:pPr>
            <w:r>
              <w:rPr>
                <w:rFonts w:ascii="楷体" w:eastAsia="楷体" w:hAnsi="楷体" w:cs="楷体" w:hint="eastAsia"/>
                <w:sz w:val="24"/>
              </w:rPr>
              <w:t>3、企业实施清洁生产技改项目情况</w:t>
            </w:r>
          </w:p>
          <w:p w:rsidR="0062660B" w:rsidRDefault="005F1973">
            <w:pPr>
              <w:widowControl/>
              <w:ind w:firstLineChars="200" w:firstLine="480"/>
              <w:jc w:val="left"/>
              <w:rPr>
                <w:rFonts w:ascii="仿宋_GB2312" w:eastAsia="仿宋_GB2312" w:cs="仿宋_GB2312"/>
                <w:sz w:val="24"/>
                <w:lang w:bidi="ar"/>
              </w:rPr>
            </w:pPr>
            <w:r>
              <w:rPr>
                <w:rFonts w:ascii="仿宋_GB2312" w:eastAsia="仿宋_GB2312" w:hAnsi="仿宋_GB2312" w:cs="仿宋_GB2312" w:hint="eastAsia"/>
                <w:sz w:val="24"/>
                <w:lang w:bidi="ar"/>
              </w:rPr>
              <w:t>新钢聚焦“三治四化”，累计投资环保项目94.09亿。形成环保技改项目198项，节能降耗技改项目43余项，全面推进废气超低排、废水零排放、固废不出厂、碳达峰及碳中和节能环保总目标。</w:t>
            </w:r>
          </w:p>
          <w:p w:rsidR="0062660B" w:rsidRDefault="005F1973">
            <w:pPr>
              <w:widowControl/>
              <w:ind w:firstLineChars="200" w:firstLine="480"/>
              <w:jc w:val="left"/>
              <w:rPr>
                <w:rFonts w:ascii="仿宋_GB2312" w:eastAsia="仿宋_GB2312" w:cs="仿宋_GB2312"/>
                <w:sz w:val="24"/>
                <w:lang w:bidi="ar"/>
              </w:rPr>
            </w:pPr>
            <w:r>
              <w:rPr>
                <w:rFonts w:ascii="仿宋_GB2312" w:eastAsia="仿宋_GB2312" w:cs="仿宋_GB2312"/>
                <w:sz w:val="24"/>
                <w:lang w:bidi="ar"/>
              </w:rPr>
              <w:t>完成综合料场智能环保易地改造项目</w:t>
            </w:r>
            <w:r>
              <w:rPr>
                <w:rFonts w:ascii="仿宋_GB2312" w:eastAsia="仿宋_GB2312" w:cs="仿宋_GB2312" w:hint="eastAsia"/>
                <w:sz w:val="24"/>
                <w:lang w:bidi="ar"/>
              </w:rPr>
              <w:t>、</w:t>
            </w:r>
            <w:r>
              <w:rPr>
                <w:rFonts w:ascii="仿宋_GB2312" w:eastAsia="仿宋_GB2312" w:cs="仿宋_GB2312"/>
                <w:sz w:val="24"/>
                <w:lang w:bidi="ar"/>
              </w:rPr>
              <w:t>4.3m焦炉环保节能升级易地改造项目</w:t>
            </w:r>
            <w:r>
              <w:rPr>
                <w:rFonts w:ascii="仿宋_GB2312" w:eastAsia="仿宋_GB2312" w:cs="仿宋_GB2312" w:hint="eastAsia"/>
                <w:sz w:val="24"/>
                <w:lang w:bidi="ar"/>
              </w:rPr>
              <w:t>、</w:t>
            </w:r>
            <w:r>
              <w:rPr>
                <w:rFonts w:ascii="仿宋_GB2312" w:eastAsia="仿宋_GB2312" w:cs="仿宋_GB2312"/>
                <w:sz w:val="24"/>
                <w:lang w:bidi="ar"/>
              </w:rPr>
              <w:t>尘泥综合治理项目</w:t>
            </w:r>
            <w:r>
              <w:rPr>
                <w:rFonts w:ascii="仿宋_GB2312" w:eastAsia="仿宋_GB2312" w:cs="仿宋_GB2312" w:hint="eastAsia"/>
                <w:sz w:val="24"/>
                <w:lang w:bidi="ar"/>
              </w:rPr>
              <w:t>、</w:t>
            </w:r>
            <w:r>
              <w:rPr>
                <w:rFonts w:ascii="仿宋_GB2312" w:eastAsia="仿宋_GB2312" w:cs="仿宋_GB2312"/>
                <w:sz w:val="24"/>
                <w:lang w:bidi="ar"/>
              </w:rPr>
              <w:t>酸再生项目</w:t>
            </w:r>
            <w:r>
              <w:rPr>
                <w:rFonts w:ascii="仿宋_GB2312" w:eastAsia="仿宋_GB2312" w:cs="仿宋_GB2312" w:hint="eastAsia"/>
                <w:sz w:val="24"/>
                <w:lang w:bidi="ar"/>
              </w:rPr>
              <w:t>、</w:t>
            </w:r>
            <w:r>
              <w:rPr>
                <w:rFonts w:ascii="仿宋_GB2312" w:eastAsia="仿宋_GB2312" w:cs="仿宋_GB2312"/>
                <w:sz w:val="24"/>
                <w:lang w:bidi="ar"/>
              </w:rPr>
              <w:t>酚氰中水回用浓盐水除氟项目、厚板特钢事业部钢一区转炉一次除尘系统更新升级改造、炼铁事业部球二区超低排放改造、6#烧结机超低排放改造项目、南排水沟雨污分流改造（一期）、制氧作业区雨污分流及废水回收项目等项目。</w:t>
            </w:r>
          </w:p>
          <w:p w:rsidR="0062660B" w:rsidRDefault="005F1973">
            <w:pPr>
              <w:widowControl/>
              <w:ind w:firstLineChars="200" w:firstLine="480"/>
              <w:jc w:val="left"/>
              <w:rPr>
                <w:rFonts w:ascii="仿宋_GB2312" w:eastAsia="仿宋_GB2312" w:cs="仿宋_GB2312"/>
                <w:sz w:val="24"/>
                <w:lang w:bidi="ar"/>
              </w:rPr>
            </w:pPr>
            <w:r>
              <w:rPr>
                <w:rFonts w:ascii="仿宋_GB2312" w:eastAsia="仿宋_GB2312" w:cs="仿宋_GB2312"/>
                <w:sz w:val="24"/>
                <w:lang w:bidi="ar"/>
              </w:rPr>
              <w:t>根据《关于推进实施钢铁行业超低排放的意见》的要求，提前布局，实施一批超低排放改造。新钢先后开展了360m</w:t>
            </w:r>
            <w:r>
              <w:rPr>
                <w:rFonts w:ascii="仿宋_GB2312" w:eastAsia="仿宋_GB2312" w:cs="仿宋_GB2312"/>
                <w:sz w:val="24"/>
                <w:vertAlign w:val="superscript"/>
                <w:lang w:bidi="ar"/>
              </w:rPr>
              <w:t>2</w:t>
            </w:r>
            <w:r>
              <w:rPr>
                <w:rFonts w:ascii="仿宋_GB2312" w:eastAsia="仿宋_GB2312" w:cs="仿宋_GB2312"/>
                <w:sz w:val="24"/>
                <w:lang w:bidi="ar"/>
              </w:rPr>
              <w:t>烧结机机尾除尘提标改造、360m</w:t>
            </w:r>
            <w:r>
              <w:rPr>
                <w:rFonts w:ascii="仿宋_GB2312" w:eastAsia="仿宋_GB2312" w:cs="仿宋_GB2312"/>
                <w:sz w:val="24"/>
                <w:vertAlign w:val="superscript"/>
                <w:lang w:bidi="ar"/>
              </w:rPr>
              <w:t>2</w:t>
            </w:r>
            <w:r>
              <w:rPr>
                <w:rFonts w:ascii="仿宋_GB2312" w:eastAsia="仿宋_GB2312" w:cs="仿宋_GB2312"/>
                <w:sz w:val="24"/>
                <w:lang w:bidi="ar"/>
              </w:rPr>
              <w:t>烧结机配料整粒成品除尘提标改造、转炉二次除尘改造、高炉出铁</w:t>
            </w:r>
            <w:r>
              <w:rPr>
                <w:rFonts w:ascii="仿宋_GB2312" w:eastAsia="仿宋_GB2312" w:cs="仿宋_GB2312" w:hint="eastAsia"/>
                <w:sz w:val="24"/>
                <w:lang w:bidi="ar"/>
              </w:rPr>
              <w:t>场</w:t>
            </w:r>
            <w:r>
              <w:rPr>
                <w:rFonts w:ascii="仿宋_GB2312" w:eastAsia="仿宋_GB2312" w:cs="仿宋_GB2312"/>
                <w:sz w:val="24"/>
                <w:lang w:bidi="ar"/>
              </w:rPr>
              <w:t>环保改造等</w:t>
            </w:r>
            <w:r>
              <w:rPr>
                <w:rFonts w:ascii="仿宋_GB2312" w:eastAsia="仿宋_GB2312" w:cs="仿宋_GB2312" w:hint="eastAsia"/>
                <w:sz w:val="24"/>
                <w:lang w:bidi="ar"/>
              </w:rPr>
              <w:t>减污降碳协同增效</w:t>
            </w:r>
            <w:r>
              <w:rPr>
                <w:rFonts w:ascii="仿宋_GB2312" w:eastAsia="仿宋_GB2312" w:cs="仿宋_GB2312"/>
                <w:sz w:val="24"/>
                <w:lang w:bidi="ar"/>
              </w:rPr>
              <w:t>项目，通过这些超低排放改造</w:t>
            </w:r>
            <w:r>
              <w:rPr>
                <w:rFonts w:ascii="仿宋_GB2312" w:eastAsia="仿宋_GB2312" w:cs="仿宋_GB2312" w:hint="eastAsia"/>
                <w:sz w:val="24"/>
                <w:lang w:bidi="ar"/>
              </w:rPr>
              <w:t>可在</w:t>
            </w:r>
            <w:r>
              <w:rPr>
                <w:rFonts w:ascii="仿宋_GB2312" w:eastAsia="仿宋_GB2312" w:cs="仿宋_GB2312"/>
                <w:sz w:val="24"/>
                <w:lang w:bidi="ar"/>
              </w:rPr>
              <w:t>进一步削减有组织颗粒物</w:t>
            </w:r>
            <w:r>
              <w:rPr>
                <w:rFonts w:ascii="仿宋_GB2312" w:eastAsia="仿宋_GB2312" w:cs="仿宋_GB2312" w:hint="eastAsia"/>
                <w:sz w:val="24"/>
                <w:lang w:bidi="ar"/>
              </w:rPr>
              <w:t>与无组织烟粉尘</w:t>
            </w:r>
            <w:r>
              <w:rPr>
                <w:rFonts w:ascii="仿宋_GB2312" w:eastAsia="仿宋_GB2312" w:cs="仿宋_GB2312"/>
                <w:sz w:val="24"/>
                <w:lang w:bidi="ar"/>
              </w:rPr>
              <w:t>排放量</w:t>
            </w:r>
            <w:r>
              <w:rPr>
                <w:rFonts w:ascii="仿宋_GB2312" w:eastAsia="仿宋_GB2312" w:cs="仿宋_GB2312" w:hint="eastAsia"/>
                <w:sz w:val="24"/>
                <w:lang w:bidi="ar"/>
              </w:rPr>
              <w:t>的同时，实现除尘系统优化节能降本</w:t>
            </w:r>
            <w:r>
              <w:rPr>
                <w:rFonts w:ascii="仿宋_GB2312" w:eastAsia="仿宋_GB2312" w:cs="仿宋_GB2312"/>
                <w:sz w:val="24"/>
                <w:lang w:bidi="ar"/>
              </w:rPr>
              <w:t>。同时，还在关键生产工序实施了热轧产线1#、2#加热炉改造等21个节能环保项目。7#烧结机机头脱硫脱硝超低排放改造于2021年12月28日建成投入使用，目前，新钢焦化工序已全面完成了超低排放改造。23年10月印发了《新余钢铁集团有限公司超低排放改造及环保绩效A级企业创建工作方案》，明确了超低排放改造组织架构、职责与时间节点</w:t>
            </w:r>
            <w:r>
              <w:rPr>
                <w:rFonts w:ascii="仿宋_GB2312" w:eastAsia="仿宋_GB2312" w:cs="仿宋_GB2312" w:hint="eastAsia"/>
                <w:sz w:val="24"/>
                <w:lang w:bidi="ar"/>
              </w:rPr>
              <w:t>，</w:t>
            </w:r>
            <w:r>
              <w:rPr>
                <w:rFonts w:ascii="仿宋_GB2312" w:eastAsia="仿宋_GB2312" w:cs="仿宋_GB2312"/>
                <w:sz w:val="24"/>
                <w:lang w:bidi="ar"/>
              </w:rPr>
              <w:t>2024年超低排放改造进入加速推进阶段</w:t>
            </w:r>
            <w:r>
              <w:rPr>
                <w:rFonts w:ascii="仿宋_GB2312" w:eastAsia="仿宋_GB2312" w:cs="仿宋_GB2312" w:hint="eastAsia"/>
                <w:sz w:val="24"/>
                <w:lang w:bidi="ar"/>
              </w:rPr>
              <w:t>，</w:t>
            </w:r>
            <w:r>
              <w:rPr>
                <w:rFonts w:ascii="仿宋_GB2312" w:eastAsia="仿宋_GB2312" w:cs="仿宋_GB2312"/>
                <w:sz w:val="24"/>
                <w:lang w:bidi="ar"/>
              </w:rPr>
              <w:t>共梳理出31个新增的超低排放改造项目，新增项目总投资</w:t>
            </w:r>
            <w:r>
              <w:rPr>
                <w:rFonts w:ascii="仿宋_GB2312" w:eastAsia="仿宋_GB2312" w:cs="仿宋_GB2312" w:hint="eastAsia"/>
                <w:sz w:val="24"/>
                <w:lang w:bidi="ar"/>
              </w:rPr>
              <w:t>近30</w:t>
            </w:r>
            <w:r>
              <w:rPr>
                <w:rFonts w:ascii="仿宋_GB2312" w:eastAsia="仿宋_GB2312" w:cs="仿宋_GB2312"/>
                <w:sz w:val="24"/>
                <w:lang w:bidi="ar"/>
              </w:rPr>
              <w:t>亿，并为每个项目制定挂图作战表</w:t>
            </w:r>
            <w:r>
              <w:rPr>
                <w:rFonts w:ascii="仿宋_GB2312" w:eastAsia="仿宋_GB2312" w:cs="仿宋_GB2312" w:hint="eastAsia"/>
                <w:sz w:val="24"/>
                <w:lang w:bidi="ar"/>
              </w:rPr>
              <w:t>，</w:t>
            </w:r>
            <w:r>
              <w:rPr>
                <w:rFonts w:ascii="仿宋_GB2312" w:eastAsia="仿宋_GB2312" w:cs="仿宋_GB2312"/>
                <w:sz w:val="24"/>
                <w:lang w:bidi="ar"/>
              </w:rPr>
              <w:t>目前各项目有序推进</w:t>
            </w:r>
            <w:r>
              <w:rPr>
                <w:rFonts w:ascii="仿宋_GB2312" w:eastAsia="仿宋_GB2312" w:cs="仿宋_GB2312" w:hint="eastAsia"/>
                <w:sz w:val="24"/>
                <w:lang w:bidi="ar"/>
              </w:rPr>
              <w:t>。</w:t>
            </w:r>
            <w:r>
              <w:rPr>
                <w:rFonts w:ascii="仿宋_GB2312" w:eastAsia="仿宋_GB2312" w:cs="仿宋_GB2312"/>
                <w:sz w:val="24"/>
                <w:lang w:bidi="ar"/>
              </w:rPr>
              <w:t xml:space="preserve"> </w:t>
            </w:r>
          </w:p>
          <w:p w:rsidR="0062660B" w:rsidRDefault="005F1973">
            <w:pPr>
              <w:ind w:firstLineChars="200" w:firstLine="480"/>
              <w:rPr>
                <w:rFonts w:ascii="仿宋_GB2312" w:eastAsia="仿宋_GB2312" w:hAnsi="宋体" w:cs="黑体"/>
                <w:sz w:val="24"/>
              </w:rPr>
            </w:pPr>
            <w:r>
              <w:rPr>
                <w:rFonts w:ascii="楷体" w:eastAsia="楷体" w:hAnsi="楷体" w:cs="楷体" w:hint="eastAsia"/>
                <w:sz w:val="24"/>
              </w:rPr>
              <w:t>4、企业开展清洁生产工作在节能、降耗、减污、增效、改进管理方面的成果</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公司大力推进节能减排，持续推进绿色低碳发展，朝着“绿色钢铁”目标迈出可喜步伐。五年来，淘汰4座4.3米焦炉、2座50t电炉、2台中温中压发电机组、5台汽动鼓风机等落后设备。新建2座7米焦炉、1座130t电弧炉、优特钢带产线1条、棒材生产线1条、高牌号电工钢产线3条、93MW高温超高压发电机组1台、智能综合料场1个。焦炉上升管余热回收、烧结机环冷液封、钢包蓄热式烘烤、高炉脱湿鼓风、高效节能水泵、智能总降、智慧空压系统、高效发电等极致能效技术得到充分应用。2023年，4.87MW屋顶光伏发电机组成功并网发电，新钢首次外购绿电450MWh，新钢实现了可再生能源利用和清洁能源消费的双项“零”突破。完成了尘泥综合治理项目，新建一条年产25万吨的转底炉产线，固废资源化、价值化利用得到进一步实现。完成了6#、7#烧结机烟气超低排放改造、120万吨链篦机-回转窑球团烟气超低排放改造、老区污水深度处理及中水回用改造、冷轧1#废水站升级改造、焦化酚氰废水深度处理及回用项目、厂区雨污分流综合改造工程等一系列环境治理项目。</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2023年，吨钢综合能耗553kgce/t、耗新水3.80m</w:t>
            </w:r>
            <w:r>
              <w:rPr>
                <w:rFonts w:ascii="仿宋_GB2312" w:eastAsia="仿宋_GB2312" w:hAnsi="宋体" w:cs="黑体" w:hint="eastAsia"/>
                <w:sz w:val="24"/>
                <w:vertAlign w:val="superscript"/>
              </w:rPr>
              <w:t>3</w:t>
            </w:r>
            <w:r>
              <w:rPr>
                <w:rFonts w:ascii="仿宋_GB2312" w:eastAsia="仿宋_GB2312" w:hAnsi="宋体" w:cs="黑体" w:hint="eastAsia"/>
                <w:sz w:val="24"/>
              </w:rPr>
              <w:t>/t，分别比2019年下降30.7kgce/t、1.83m</w:t>
            </w:r>
            <w:r>
              <w:rPr>
                <w:rFonts w:ascii="仿宋_GB2312" w:eastAsia="仿宋_GB2312" w:hAnsi="宋体" w:cs="黑体" w:hint="eastAsia"/>
                <w:sz w:val="24"/>
                <w:vertAlign w:val="superscript"/>
              </w:rPr>
              <w:t>3</w:t>
            </w:r>
            <w:r>
              <w:rPr>
                <w:rFonts w:ascii="仿宋_GB2312" w:eastAsia="仿宋_GB2312" w:hAnsi="宋体" w:cs="黑体" w:hint="eastAsia"/>
                <w:sz w:val="24"/>
              </w:rPr>
              <w:t>/t;自发电量34.23亿kwh，占总用量的64.5%，分别比2019年提高10.41亿kwh、13.41个百分点。固体废弃物综合利用率100%,比2020年提高0.37个百分点。吨钢污染物排放大幅削减，与2020年相比，吨钢SO</w:t>
            </w:r>
            <w:r>
              <w:rPr>
                <w:rFonts w:ascii="仿宋_GB2312" w:eastAsia="仿宋_GB2312" w:hAnsi="宋体" w:cs="黑体" w:hint="eastAsia"/>
                <w:sz w:val="24"/>
                <w:vertAlign w:val="subscript"/>
              </w:rPr>
              <w:t>2</w:t>
            </w:r>
            <w:r>
              <w:rPr>
                <w:rFonts w:ascii="仿宋_GB2312" w:eastAsia="仿宋_GB2312" w:hAnsi="宋体" w:cs="黑体" w:hint="eastAsia"/>
                <w:sz w:val="24"/>
              </w:rPr>
              <w:t>排放量下降38.09%;吨钢NOx排放量下降25.31%;吨钢COD排放量下降18.91%。环保治理能力大幅提高，与2020年相比，废气治理设施增加14套，增加10.14%，废水治理设施增加64套，增加28.44%。吨钢二氧化碳排放总量1.76tCO</w:t>
            </w:r>
            <w:r>
              <w:rPr>
                <w:rFonts w:ascii="仿宋_GB2312" w:eastAsia="仿宋_GB2312" w:hAnsi="宋体" w:cs="黑体" w:hint="eastAsia"/>
                <w:sz w:val="24"/>
                <w:vertAlign w:val="subscript"/>
              </w:rPr>
              <w:t>2</w:t>
            </w:r>
            <w:r>
              <w:rPr>
                <w:rFonts w:ascii="仿宋_GB2312" w:eastAsia="仿宋_GB2312" w:hAnsi="宋体" w:cs="黑体" w:hint="eastAsia"/>
                <w:sz w:val="24"/>
              </w:rPr>
              <w:t>/t，开始进入碳达峰平台期。新钢炼焦工序、2座2500m</w:t>
            </w:r>
            <w:r>
              <w:rPr>
                <w:rFonts w:ascii="仿宋_GB2312" w:eastAsia="仿宋_GB2312" w:hAnsi="宋体" w:cs="黑体" w:hint="eastAsia"/>
                <w:sz w:val="24"/>
                <w:vertAlign w:val="superscript"/>
              </w:rPr>
              <w:t>3</w:t>
            </w:r>
            <w:r>
              <w:rPr>
                <w:rFonts w:ascii="仿宋_GB2312" w:eastAsia="仿宋_GB2312" w:hAnsi="宋体" w:cs="黑体" w:hint="eastAsia"/>
                <w:sz w:val="24"/>
              </w:rPr>
              <w:t>高炉冶炼工艺达到能效标杆水平，超低排放改造过程中兼顾减污降碳战略发展思路，从除尘系统优化节能降耗、煤气精脱硫技术探索比选与低氮燃烧改造源头减量、精准喷氨与脱硫废水合规处理循环利用等技术迭代等方面综合升级，实现超低排放改造过程后的减污降碳协同增效，助力新钢集团成为中钢协“双碳最佳实践能效标杆示范厂”培育第一批企业。</w:t>
            </w:r>
          </w:p>
          <w:p w:rsidR="0062660B" w:rsidRDefault="005F1973">
            <w:pPr>
              <w:ind w:firstLineChars="200" w:firstLine="482"/>
              <w:rPr>
                <w:rFonts w:ascii="仿宋_GB2312" w:eastAsia="仿宋_GB2312" w:hAnsi="宋体" w:cs="黑体"/>
                <w:b/>
                <w:bCs/>
                <w:sz w:val="24"/>
              </w:rPr>
            </w:pPr>
            <w:r>
              <w:rPr>
                <w:rFonts w:ascii="仿宋_GB2312" w:eastAsia="仿宋_GB2312" w:hAnsi="宋体" w:cs="黑体" w:hint="eastAsia"/>
                <w:b/>
                <w:bCs/>
                <w:sz w:val="24"/>
              </w:rPr>
              <w:t>三、环境友好企业创建方面</w:t>
            </w:r>
          </w:p>
          <w:p w:rsidR="0062660B" w:rsidRDefault="005F1973">
            <w:pPr>
              <w:ind w:firstLineChars="200" w:firstLine="480"/>
              <w:rPr>
                <w:rFonts w:ascii="仿宋_GB2312" w:eastAsia="仿宋_GB2312" w:hAnsi="宋体" w:cs="黑体"/>
                <w:sz w:val="24"/>
                <w:highlight w:val="yellow"/>
              </w:rPr>
            </w:pPr>
            <w:r>
              <w:rPr>
                <w:rFonts w:ascii="楷体" w:eastAsia="楷体" w:hAnsi="楷体" w:cs="楷体" w:hint="eastAsia"/>
                <w:sz w:val="24"/>
              </w:rPr>
              <w:t>1、与国家相关法律、法规、政策的符合性</w:t>
            </w:r>
          </w:p>
          <w:p w:rsidR="0062660B" w:rsidRDefault="005F1973">
            <w:pPr>
              <w:adjustRightInd w:val="0"/>
              <w:snapToGrid w:val="0"/>
              <w:spacing w:beforeLines="25" w:before="78" w:line="300" w:lineRule="auto"/>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新钢集团生产经营全过程满足国家相关法律、法规、政策要求。</w:t>
            </w:r>
          </w:p>
          <w:tbl>
            <w:tblPr>
              <w:tblW w:w="9010" w:type="dxa"/>
              <w:jc w:val="center"/>
              <w:tblCellMar>
                <w:left w:w="0" w:type="dxa"/>
                <w:right w:w="0" w:type="dxa"/>
              </w:tblCellMar>
              <w:tblLook w:val="04A0" w:firstRow="1" w:lastRow="0" w:firstColumn="1" w:lastColumn="0" w:noHBand="0" w:noVBand="1"/>
            </w:tblPr>
            <w:tblGrid>
              <w:gridCol w:w="277"/>
              <w:gridCol w:w="4188"/>
              <w:gridCol w:w="3723"/>
              <w:gridCol w:w="822"/>
            </w:tblGrid>
            <w:tr w:rsidR="0062660B">
              <w:trPr>
                <w:trHeight w:val="23"/>
                <w:jc w:val="center"/>
              </w:trPr>
              <w:tc>
                <w:tcPr>
                  <w:tcW w:w="153"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序号</w:t>
                  </w:r>
                </w:p>
              </w:tc>
              <w:tc>
                <w:tcPr>
                  <w:tcW w:w="2324"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相关文件</w:t>
                  </w:r>
                </w:p>
              </w:tc>
              <w:tc>
                <w:tcPr>
                  <w:tcW w:w="206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实际情况</w:t>
                  </w:r>
                </w:p>
              </w:tc>
              <w:tc>
                <w:tcPr>
                  <w:tcW w:w="45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是否</w:t>
                  </w:r>
                </w:p>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r w:rsidR="0062660B">
              <w:trPr>
                <w:trHeight w:val="23"/>
                <w:jc w:val="center"/>
              </w:trPr>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1</w:t>
                  </w:r>
                </w:p>
              </w:tc>
              <w:tc>
                <w:tcPr>
                  <w:tcW w:w="2324"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utoSpaceDE w:val="0"/>
                    <w:spacing w:line="240" w:lineRule="exact"/>
                    <w:jc w:val="center"/>
                    <w:rPr>
                      <w:rFonts w:ascii="仿宋_GB2312" w:eastAsia="仿宋_GB2312" w:hAnsi="仿宋_GB2312" w:cs="仿宋_GB2312"/>
                      <w:sz w:val="24"/>
                    </w:rPr>
                  </w:pPr>
                  <w:r>
                    <w:rPr>
                      <w:rFonts w:ascii="仿宋_GB2312" w:eastAsia="仿宋_GB2312" w:hAnsi="仿宋_GB2312" w:cs="仿宋_GB2312" w:hint="eastAsia"/>
                      <w:sz w:val="24"/>
                      <w:lang w:bidi="ar"/>
                    </w:rPr>
                    <w:t>《钢铁行业生产经营规范条件》</w:t>
                  </w:r>
                </w:p>
                <w:p w:rsidR="0062660B" w:rsidRDefault="005F1973">
                  <w:pPr>
                    <w:autoSpaceDE w:val="0"/>
                    <w:spacing w:line="24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sz w:val="24"/>
                      <w:lang w:bidi="ar"/>
                    </w:rPr>
                    <w:t>（工原〔2010〕第105号）</w:t>
                  </w:r>
                </w:p>
              </w:tc>
              <w:tc>
                <w:tcPr>
                  <w:tcW w:w="206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utoSpaceDE w:val="0"/>
                    <w:spacing w:line="24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sz w:val="24"/>
                      <w:lang w:bidi="ar"/>
                    </w:rPr>
                    <w:t>进入工业和信息化部《钢铁行业生产经营规范条件》（第二批）的企业</w:t>
                  </w:r>
                </w:p>
              </w:tc>
              <w:tc>
                <w:tcPr>
                  <w:tcW w:w="45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r w:rsidR="0062660B">
              <w:trPr>
                <w:trHeight w:val="23"/>
                <w:jc w:val="center"/>
              </w:trPr>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2</w:t>
                  </w:r>
                </w:p>
              </w:tc>
              <w:tc>
                <w:tcPr>
                  <w:tcW w:w="2324"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lang w:bidi="ar"/>
                    </w:rPr>
                    <w:t>《长江保护修复攻坚战行动计划》</w:t>
                  </w:r>
                </w:p>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lang w:bidi="ar"/>
                    </w:rPr>
                    <w:t>（环水体〔2018〕181号）</w:t>
                  </w:r>
                </w:p>
              </w:tc>
              <w:tc>
                <w:tcPr>
                  <w:tcW w:w="2066" w:type="pct"/>
                  <w:vMerge w:val="restart"/>
                  <w:tcBorders>
                    <w:top w:val="single" w:sz="4" w:space="0" w:color="auto"/>
                    <w:left w:val="nil"/>
                    <w:right w:val="single" w:sz="4" w:space="0" w:color="auto"/>
                  </w:tcBorders>
                  <w:shd w:val="clear" w:color="auto" w:fill="auto"/>
                  <w:tcMar>
                    <w:top w:w="15" w:type="dxa"/>
                    <w:left w:w="15" w:type="dxa"/>
                    <w:right w:w="15" w:type="dxa"/>
                  </w:tcMar>
                  <w:vAlign w:val="center"/>
                </w:tcPr>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bCs/>
                      <w:color w:val="000000"/>
                      <w:sz w:val="24"/>
                      <w:lang w:bidi="ar"/>
                    </w:rPr>
                    <w:t>印发《新余钢铁集团有限公司长江流域环境保护工作方案》，实施源头减量、废水回用等措施，降低吨钢取水量和废水排放量</w:t>
                  </w:r>
                </w:p>
              </w:tc>
              <w:tc>
                <w:tcPr>
                  <w:tcW w:w="45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lang w:bidi="ar"/>
                    </w:rPr>
                    <w:t>符合</w:t>
                  </w:r>
                </w:p>
              </w:tc>
            </w:tr>
            <w:tr w:rsidR="0062660B">
              <w:trPr>
                <w:trHeight w:val="23"/>
                <w:jc w:val="center"/>
              </w:trPr>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3</w:t>
                  </w:r>
                </w:p>
              </w:tc>
              <w:tc>
                <w:tcPr>
                  <w:tcW w:w="2324"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lang w:bidi="ar"/>
                    </w:rPr>
                    <w:t>《中华人民共和国长江保护法》</w:t>
                  </w:r>
                </w:p>
              </w:tc>
              <w:tc>
                <w:tcPr>
                  <w:tcW w:w="2066" w:type="pct"/>
                  <w:vMerge/>
                  <w:tcBorders>
                    <w:left w:val="nil"/>
                    <w:bottom w:val="single" w:sz="4" w:space="0" w:color="auto"/>
                    <w:right w:val="single" w:sz="4" w:space="0" w:color="auto"/>
                  </w:tcBorders>
                  <w:shd w:val="clear" w:color="auto" w:fill="auto"/>
                  <w:tcMar>
                    <w:top w:w="15" w:type="dxa"/>
                    <w:left w:w="15" w:type="dxa"/>
                    <w:right w:w="15" w:type="dxa"/>
                  </w:tcMar>
                  <w:vAlign w:val="center"/>
                </w:tcPr>
                <w:p w:rsidR="0062660B" w:rsidRDefault="0062660B">
                  <w:pPr>
                    <w:snapToGrid w:val="0"/>
                    <w:jc w:val="center"/>
                    <w:textAlignment w:val="center"/>
                    <w:rPr>
                      <w:rFonts w:ascii="仿宋_GB2312" w:eastAsia="仿宋_GB2312" w:hAnsi="仿宋_GB2312" w:cs="仿宋_GB2312"/>
                      <w:bCs/>
                      <w:color w:val="000000"/>
                      <w:sz w:val="24"/>
                    </w:rPr>
                  </w:pPr>
                </w:p>
              </w:tc>
              <w:tc>
                <w:tcPr>
                  <w:tcW w:w="45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snapToGrid w:val="0"/>
                    <w:jc w:val="center"/>
                    <w:textAlignment w:val="center"/>
                    <w:rPr>
                      <w:rFonts w:ascii="仿宋_GB2312" w:eastAsia="仿宋_GB2312" w:hAnsi="仿宋_GB2312" w:cs="仿宋_GB2312"/>
                      <w:color w:val="000000"/>
                      <w:sz w:val="24"/>
                    </w:rPr>
                  </w:pPr>
                  <w:r>
                    <w:rPr>
                      <w:rFonts w:ascii="仿宋_GB2312" w:eastAsia="仿宋_GB2312" w:hAnsi="仿宋_GB2312" w:cs="仿宋_GB2312" w:hint="eastAsia"/>
                      <w:color w:val="000000"/>
                      <w:sz w:val="24"/>
                      <w:lang w:bidi="ar"/>
                    </w:rPr>
                    <w:t>符合</w:t>
                  </w:r>
                </w:p>
              </w:tc>
            </w:tr>
            <w:tr w:rsidR="0062660B">
              <w:trPr>
                <w:trHeight w:val="23"/>
                <w:jc w:val="center"/>
              </w:trPr>
              <w:tc>
                <w:tcPr>
                  <w:tcW w:w="15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4</w:t>
                  </w:r>
                </w:p>
              </w:tc>
              <w:tc>
                <w:tcPr>
                  <w:tcW w:w="2324"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《关于推进实施钢铁行业超低排放的意见》</w:t>
                  </w:r>
                </w:p>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（环大气〔2019〕35号）</w:t>
                  </w:r>
                </w:p>
              </w:tc>
              <w:tc>
                <w:tcPr>
                  <w:tcW w:w="206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编制《新余钢铁集团有限公司超低排放改造及环保绩效A级企业创建工作方案》并稳步推进</w:t>
                  </w:r>
                </w:p>
              </w:tc>
              <w:tc>
                <w:tcPr>
                  <w:tcW w:w="456"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bl>
          <w:p w:rsidR="0062660B" w:rsidRDefault="0062660B">
            <w:pPr>
              <w:rPr>
                <w:rFonts w:ascii="仿宋_GB2312" w:eastAsia="仿宋_GB2312" w:hAnsi="仿宋_GB2312" w:cs="仿宋_GB2312"/>
                <w:sz w:val="24"/>
              </w:rPr>
            </w:pPr>
          </w:p>
          <w:p w:rsidR="0062660B" w:rsidRDefault="005F1973">
            <w:pPr>
              <w:ind w:firstLineChars="200" w:firstLine="480"/>
              <w:rPr>
                <w:rFonts w:ascii="仿宋_GB2312" w:eastAsia="仿宋_GB2312" w:hAnsi="仿宋_GB2312" w:cs="仿宋_GB2312"/>
                <w:sz w:val="24"/>
                <w:highlight w:val="yellow"/>
              </w:rPr>
            </w:pPr>
            <w:r>
              <w:rPr>
                <w:rFonts w:ascii="楷体" w:eastAsia="楷体" w:hAnsi="楷体" w:cs="楷体" w:hint="eastAsia"/>
                <w:sz w:val="24"/>
              </w:rPr>
              <w:t>2、与地方环境保护相关法律、法规、政策和规划要求的符合性</w:t>
            </w:r>
          </w:p>
          <w:tbl>
            <w:tblPr>
              <w:tblW w:w="4999" w:type="pct"/>
              <w:jc w:val="center"/>
              <w:tblCellMar>
                <w:left w:w="0" w:type="dxa"/>
                <w:right w:w="0" w:type="dxa"/>
              </w:tblCellMar>
              <w:tblLook w:val="04A0" w:firstRow="1" w:lastRow="0" w:firstColumn="1" w:lastColumn="0" w:noHBand="0" w:noVBand="1"/>
            </w:tblPr>
            <w:tblGrid>
              <w:gridCol w:w="298"/>
              <w:gridCol w:w="4154"/>
              <w:gridCol w:w="3707"/>
              <w:gridCol w:w="843"/>
            </w:tblGrid>
            <w:tr w:rsidR="0062660B">
              <w:trPr>
                <w:trHeight w:val="672"/>
                <w:jc w:val="center"/>
              </w:trPr>
              <w:tc>
                <w:tcPr>
                  <w:tcW w:w="165" w:type="pct"/>
                  <w:tcBorders>
                    <w:top w:val="single" w:sz="4" w:space="0" w:color="auto"/>
                    <w:left w:val="single" w:sz="4" w:space="0" w:color="000000"/>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序号</w:t>
                  </w:r>
                </w:p>
              </w:tc>
              <w:tc>
                <w:tcPr>
                  <w:tcW w:w="2307"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相关文件</w:t>
                  </w:r>
                </w:p>
              </w:tc>
              <w:tc>
                <w:tcPr>
                  <w:tcW w:w="2059"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实际情况</w:t>
                  </w:r>
                </w:p>
              </w:tc>
              <w:tc>
                <w:tcPr>
                  <w:tcW w:w="468"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是否</w:t>
                  </w:r>
                </w:p>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r w:rsidR="0062660B">
              <w:trPr>
                <w:trHeight w:val="672"/>
                <w:jc w:val="center"/>
              </w:trPr>
              <w:tc>
                <w:tcPr>
                  <w:tcW w:w="1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1</w:t>
                  </w:r>
                </w:p>
              </w:tc>
              <w:tc>
                <w:tcPr>
                  <w:tcW w:w="2307"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sz w:val="24"/>
                      <w:lang w:bidi="ar"/>
                    </w:rPr>
                    <w:t>《江西省生态保护红线生态环境监督办法(试行)》赣环生态字〔2023</w:t>
                  </w:r>
                  <w:r>
                    <w:rPr>
                      <w:rFonts w:ascii="仿宋_GB2312" w:eastAsia="仿宋_GB2312" w:hAnsi="仿宋_GB2312" w:cs="仿宋_GB2312" w:hint="eastAsia"/>
                      <w:bCs/>
                      <w:color w:val="000000"/>
                      <w:sz w:val="24"/>
                      <w:lang w:bidi="ar"/>
                    </w:rPr>
                    <w:t>〕</w:t>
                  </w:r>
                  <w:r>
                    <w:rPr>
                      <w:rFonts w:ascii="仿宋_GB2312" w:eastAsia="仿宋_GB2312" w:hAnsi="仿宋_GB2312" w:cs="仿宋_GB2312" w:hint="eastAsia"/>
                      <w:sz w:val="24"/>
                      <w:lang w:bidi="ar"/>
                    </w:rPr>
                    <w:t>493号</w:t>
                  </w:r>
                </w:p>
              </w:tc>
              <w:tc>
                <w:tcPr>
                  <w:tcW w:w="2059"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left"/>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印发《新余钢铁集团有限公司长江流域环境保护工作方案》</w:t>
                  </w:r>
                </w:p>
              </w:tc>
              <w:tc>
                <w:tcPr>
                  <w:tcW w:w="468"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r w:rsidR="0062660B">
              <w:trPr>
                <w:trHeight w:val="983"/>
                <w:jc w:val="center"/>
              </w:trPr>
              <w:tc>
                <w:tcPr>
                  <w:tcW w:w="1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2</w:t>
                  </w:r>
                </w:p>
              </w:tc>
              <w:tc>
                <w:tcPr>
                  <w:tcW w:w="2307"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lang w:bidi="ar"/>
                    </w:rPr>
                    <w:t>《江西省污染源自动监控管理办法》</w:t>
                  </w:r>
                  <w:r>
                    <w:rPr>
                      <w:rFonts w:ascii="仿宋_GB2312" w:eastAsia="仿宋_GB2312" w:hAnsi="仿宋_GB2312" w:cs="仿宋_GB2312" w:hint="eastAsia"/>
                      <w:bCs/>
                      <w:color w:val="000000"/>
                      <w:sz w:val="24"/>
                      <w:lang w:bidi="ar"/>
                    </w:rPr>
                    <w:t>赣环规字〔2022〕1号</w:t>
                  </w:r>
                </w:p>
              </w:tc>
              <w:tc>
                <w:tcPr>
                  <w:tcW w:w="2059"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left"/>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依法安装、使用、维护污染物排放自动监测设备，并与生态环境主管部门的监控设备进行联网</w:t>
                  </w:r>
                </w:p>
              </w:tc>
              <w:tc>
                <w:tcPr>
                  <w:tcW w:w="468"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r w:rsidR="0062660B">
              <w:trPr>
                <w:trHeight w:val="1313"/>
                <w:jc w:val="center"/>
              </w:trPr>
              <w:tc>
                <w:tcPr>
                  <w:tcW w:w="1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3</w:t>
                  </w:r>
                </w:p>
              </w:tc>
              <w:tc>
                <w:tcPr>
                  <w:tcW w:w="2307"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sz w:val="24"/>
                    </w:rPr>
                  </w:pPr>
                  <w:r>
                    <w:rPr>
                      <w:rFonts w:ascii="仿宋_GB2312" w:eastAsia="仿宋_GB2312" w:hAnsi="仿宋_GB2312" w:cs="仿宋_GB2312" w:hint="eastAsia"/>
                      <w:sz w:val="24"/>
                      <w:lang w:bidi="ar"/>
                    </w:rPr>
                    <w:t>《江西省大气污染防治条例》</w:t>
                  </w:r>
                </w:p>
              </w:tc>
              <w:tc>
                <w:tcPr>
                  <w:tcW w:w="2059"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left"/>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建立了重污染天气应急处置机制，制定了《污染天气应对管理办法》，大气污染物排放和控制指标满足江西省要求</w:t>
                  </w:r>
                </w:p>
              </w:tc>
              <w:tc>
                <w:tcPr>
                  <w:tcW w:w="468" w:type="pct"/>
                  <w:tcBorders>
                    <w:top w:val="single" w:sz="4" w:space="0" w:color="auto"/>
                    <w:left w:val="nil"/>
                    <w:bottom w:val="single" w:sz="4" w:space="0" w:color="auto"/>
                    <w:right w:val="single" w:sz="4" w:space="0" w:color="auto"/>
                  </w:tcBorders>
                  <w:shd w:val="clear" w:color="auto" w:fill="auto"/>
                  <w:tcMar>
                    <w:top w:w="15" w:type="dxa"/>
                    <w:left w:w="15" w:type="dxa"/>
                    <w:right w:w="15" w:type="dxa"/>
                  </w:tcMar>
                  <w:vAlign w:val="center"/>
                </w:tcPr>
                <w:p w:rsidR="0062660B" w:rsidRDefault="005F1973">
                  <w:pPr>
                    <w:adjustRightInd w:val="0"/>
                    <w:snapToGrid w:val="0"/>
                    <w:jc w:val="center"/>
                    <w:textAlignment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lang w:bidi="ar"/>
                    </w:rPr>
                    <w:t>符合</w:t>
                  </w:r>
                </w:p>
              </w:tc>
            </w:tr>
          </w:tbl>
          <w:p w:rsidR="0062660B" w:rsidRDefault="005F1973">
            <w:pPr>
              <w:ind w:firstLineChars="200" w:firstLine="480"/>
              <w:rPr>
                <w:rFonts w:ascii="仿宋_GB2312" w:eastAsia="仿宋_GB2312" w:hAnsi="宋体" w:cs="黑体"/>
                <w:sz w:val="24"/>
              </w:rPr>
            </w:pPr>
            <w:r>
              <w:rPr>
                <w:rFonts w:ascii="楷体" w:eastAsia="楷体" w:hAnsi="楷体" w:cs="楷体" w:hint="eastAsia"/>
                <w:sz w:val="24"/>
              </w:rPr>
              <w:t>3、与环境影响评价和三同时制度要求的符合性</w:t>
            </w:r>
          </w:p>
          <w:p w:rsidR="0062660B" w:rsidRDefault="005F1973">
            <w:pPr>
              <w:ind w:firstLineChars="200" w:firstLine="480"/>
              <w:rPr>
                <w:rFonts w:ascii="仿宋_GB2312" w:eastAsia="仿宋_GB2312" w:hAnsi="宋体" w:cs="黑体"/>
                <w:sz w:val="24"/>
                <w:highlight w:val="yellow"/>
              </w:rPr>
            </w:pPr>
            <w:r>
              <w:rPr>
                <w:rFonts w:ascii="仿宋_GB2312" w:eastAsia="仿宋_GB2312" w:cs="仿宋_GB2312" w:hint="eastAsia"/>
                <w:sz w:val="24"/>
                <w:lang w:bidi="ar"/>
              </w:rPr>
              <w:t>新钢</w:t>
            </w:r>
            <w:r>
              <w:rPr>
                <w:rFonts w:ascii="仿宋_GB2312" w:eastAsia="仿宋_GB2312" w:cs="仿宋_GB2312"/>
                <w:sz w:val="24"/>
                <w:lang w:bidi="ar"/>
              </w:rPr>
              <w:t>各项工程项目均严格执行国家</w:t>
            </w:r>
            <w:r>
              <w:rPr>
                <w:rFonts w:eastAsia="仿宋_GB2312"/>
                <w:sz w:val="24"/>
                <w:lang w:bidi="ar"/>
              </w:rPr>
              <w:t>“</w:t>
            </w:r>
            <w:r>
              <w:rPr>
                <w:rFonts w:ascii="仿宋_GB2312" w:eastAsia="仿宋_GB2312" w:cs="仿宋_GB2312"/>
                <w:sz w:val="24"/>
                <w:lang w:bidi="ar"/>
              </w:rPr>
              <w:t>三同时</w:t>
            </w:r>
            <w:r>
              <w:rPr>
                <w:rFonts w:eastAsia="仿宋_GB2312"/>
                <w:sz w:val="24"/>
                <w:lang w:bidi="ar"/>
              </w:rPr>
              <w:t>”</w:t>
            </w:r>
            <w:r>
              <w:rPr>
                <w:rFonts w:ascii="仿宋_GB2312" w:eastAsia="仿宋_GB2312" w:cs="仿宋_GB2312"/>
                <w:sz w:val="24"/>
                <w:lang w:bidi="ar"/>
              </w:rPr>
              <w:t>管理规定，实施的各项生产技改项目均取得生态环境主管部门的审批或备案</w:t>
            </w:r>
          </w:p>
          <w:p w:rsidR="0062660B" w:rsidRDefault="005F1973">
            <w:pPr>
              <w:ind w:firstLineChars="200" w:firstLine="480"/>
            </w:pPr>
            <w:r>
              <w:rPr>
                <w:rFonts w:ascii="楷体" w:eastAsia="楷体" w:hAnsi="楷体" w:cs="楷体" w:hint="eastAsia"/>
                <w:sz w:val="24"/>
              </w:rPr>
              <w:t>4、与污染源达标排放、总量控制规定要求的符合性</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（1）达标排放</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新钢大气污染物排放值满足《大气污染物综合排放标准》、《钢铁烧结、球团工业大气污染物排放标准》、《炼铁工业大气污染物排放标准》、《炼钢工业大气污染物排放标准》、《轧钢工业大气污染物排放标准》等要求，通过持续实施超低排放改造工作，烧结、球团、焦化、炼铁、炼钢等多项工序部分污染物满足超低限值要求，2025年将全面满足超低限值要求。废水污染物排放值符合《钢铁工业水污染物排放标准》。固废、危废处置符合相关控制标准，厂界噪声排放达标。</w:t>
            </w:r>
          </w:p>
          <w:p w:rsidR="0062660B" w:rsidRDefault="005F1973">
            <w:pPr>
              <w:ind w:firstLineChars="200" w:firstLine="480"/>
              <w:rPr>
                <w:rFonts w:ascii="仿宋_GB2312" w:eastAsia="仿宋_GB2312" w:hAnsi="宋体" w:cs="黑体"/>
                <w:sz w:val="24"/>
              </w:rPr>
            </w:pPr>
            <w:r>
              <w:rPr>
                <w:rFonts w:ascii="仿宋_GB2312" w:eastAsia="仿宋_GB2312" w:hAnsi="宋体" w:cs="黑体"/>
                <w:sz w:val="24"/>
              </w:rPr>
              <w:t>（2）持证排污</w:t>
            </w:r>
          </w:p>
          <w:p w:rsidR="0062660B" w:rsidRDefault="005F1973">
            <w:pPr>
              <w:ind w:firstLineChars="200" w:firstLine="480"/>
              <w:rPr>
                <w:rFonts w:ascii="仿宋_GB2312" w:eastAsia="仿宋_GB2312" w:hAnsi="宋体" w:cs="黑体"/>
                <w:sz w:val="24"/>
              </w:rPr>
            </w:pPr>
            <w:r>
              <w:rPr>
                <w:rFonts w:ascii="仿宋_GB2312" w:eastAsia="仿宋_GB2312" w:hAnsi="宋体" w:cs="黑体" w:hint="eastAsia"/>
                <w:sz w:val="24"/>
              </w:rPr>
              <w:t>新钢集团子公司新余钢铁股份有限公司</w:t>
            </w:r>
            <w:r>
              <w:rPr>
                <w:rFonts w:ascii="仿宋_GB2312" w:eastAsia="仿宋_GB2312" w:hAnsi="宋体" w:cs="黑体"/>
                <w:sz w:val="24"/>
              </w:rPr>
              <w:t>201</w:t>
            </w:r>
            <w:r>
              <w:rPr>
                <w:rFonts w:ascii="仿宋_GB2312" w:eastAsia="仿宋_GB2312" w:hAnsi="宋体" w:cs="黑体" w:hint="eastAsia"/>
                <w:sz w:val="24"/>
              </w:rPr>
              <w:t>8</w:t>
            </w:r>
            <w:r>
              <w:rPr>
                <w:rFonts w:ascii="仿宋_GB2312" w:eastAsia="仿宋_GB2312" w:hAnsi="宋体" w:cs="黑体"/>
                <w:sz w:val="24"/>
              </w:rPr>
              <w:t>年</w:t>
            </w:r>
            <w:r>
              <w:rPr>
                <w:rFonts w:ascii="仿宋_GB2312" w:eastAsia="仿宋_GB2312" w:hAnsi="宋体" w:cs="黑体" w:hint="eastAsia"/>
                <w:sz w:val="24"/>
              </w:rPr>
              <w:t>8</w:t>
            </w:r>
            <w:r>
              <w:rPr>
                <w:rFonts w:ascii="仿宋_GB2312" w:eastAsia="仿宋_GB2312" w:hAnsi="宋体" w:cs="黑体"/>
                <w:sz w:val="24"/>
              </w:rPr>
              <w:t>月取得由</w:t>
            </w:r>
            <w:r>
              <w:rPr>
                <w:rFonts w:ascii="仿宋_GB2312" w:eastAsia="仿宋_GB2312" w:hAnsi="宋体" w:cs="黑体" w:hint="eastAsia"/>
                <w:sz w:val="24"/>
              </w:rPr>
              <w:t>新余</w:t>
            </w:r>
            <w:r>
              <w:rPr>
                <w:rFonts w:ascii="仿宋_GB2312" w:eastAsia="仿宋_GB2312" w:hAnsi="宋体" w:cs="黑体"/>
                <w:sz w:val="24"/>
              </w:rPr>
              <w:t>市生态环境局颁发的污染物排污许可证，202</w:t>
            </w:r>
            <w:r>
              <w:rPr>
                <w:rFonts w:ascii="仿宋_GB2312" w:eastAsia="仿宋_GB2312" w:hAnsi="宋体" w:cs="黑体" w:hint="eastAsia"/>
                <w:sz w:val="24"/>
              </w:rPr>
              <w:t>3</w:t>
            </w:r>
            <w:r>
              <w:rPr>
                <w:rFonts w:ascii="仿宋_GB2312" w:eastAsia="仿宋_GB2312" w:hAnsi="宋体" w:cs="黑体"/>
                <w:sz w:val="24"/>
              </w:rPr>
              <w:t>年1</w:t>
            </w:r>
            <w:r>
              <w:rPr>
                <w:rFonts w:ascii="仿宋_GB2312" w:eastAsia="仿宋_GB2312" w:hAnsi="宋体" w:cs="黑体" w:hint="eastAsia"/>
                <w:sz w:val="24"/>
              </w:rPr>
              <w:t>2</w:t>
            </w:r>
            <w:r>
              <w:rPr>
                <w:rFonts w:ascii="仿宋_GB2312" w:eastAsia="仿宋_GB2312" w:hAnsi="宋体" w:cs="黑体"/>
                <w:sz w:val="24"/>
              </w:rPr>
              <w:t>月变更了最新版的排污许可证（证书编号：913605001583084437001P），</w:t>
            </w:r>
            <w:r>
              <w:rPr>
                <w:rFonts w:ascii="仿宋_GB2312" w:eastAsia="仿宋_GB2312" w:hAnsi="宋体" w:cs="黑体" w:hint="eastAsia"/>
                <w:sz w:val="24"/>
              </w:rPr>
              <w:t>其余子公司如江西新钢环保科技有限公司（证书编号：91360502MA39TJGB2U001P）、新余齐奥矿品有限公司（证书编号：91360500794782779E001P）、新余新钢板材加工有限公司（证书编号：91360500799453245R001P）、新余新钢气体有限责任公司（证书编号：91360500767027313Y001X）等均取得污染物排污许可证或进行排污登记。新钢集团</w:t>
            </w:r>
            <w:r>
              <w:rPr>
                <w:rFonts w:ascii="仿宋_GB2312" w:eastAsia="仿宋_GB2312" w:hAnsi="宋体" w:cs="黑体"/>
                <w:sz w:val="24"/>
              </w:rPr>
              <w:t>始终依法持证排污，上报执行报告，各污染物排放总量符合许可证管理要求。</w:t>
            </w:r>
          </w:p>
          <w:p w:rsidR="0062660B" w:rsidRDefault="005F1973">
            <w:pPr>
              <w:ind w:firstLineChars="200" w:firstLine="482"/>
              <w:rPr>
                <w:rFonts w:ascii="仿宋_GB2312" w:eastAsia="仿宋_GB2312" w:hAnsi="宋体" w:cs="黑体"/>
                <w:b/>
                <w:bCs/>
                <w:color w:val="0000FF"/>
                <w:sz w:val="24"/>
              </w:rPr>
            </w:pPr>
            <w:r>
              <w:rPr>
                <w:rFonts w:ascii="仿宋_GB2312" w:eastAsia="仿宋_GB2312" w:hAnsi="仿宋_GB2312" w:cs="仿宋_GB2312" w:hint="eastAsia"/>
                <w:b/>
                <w:bCs/>
                <w:sz w:val="24"/>
              </w:rPr>
              <w:t>四、在清洁生产环境友好企业实践中具有创新性和示范性的工作</w:t>
            </w:r>
          </w:p>
          <w:p w:rsidR="0062660B" w:rsidRDefault="005F1973">
            <w:pPr>
              <w:ind w:firstLineChars="200" w:firstLine="480"/>
              <w:rPr>
                <w:rFonts w:ascii="仿宋_GB2312" w:eastAsia="仿宋_GB2312" w:cs="仿宋_GB2312"/>
                <w:sz w:val="24"/>
                <w:lang w:bidi="ar"/>
              </w:rPr>
            </w:pPr>
            <w:r>
              <w:rPr>
                <w:rFonts w:ascii="楷体" w:eastAsia="楷体" w:hAnsi="楷体" w:cs="楷体" w:hint="eastAsia"/>
                <w:sz w:val="24"/>
                <w:lang w:bidi="ar"/>
              </w:rPr>
              <w:t>1、企业在组织机构、管理制度建设方面的特点</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建立“公司主管领导-公司专业管理部门-各二级单位主管领导”环保管理三级网络组织机构。成立了由公司领导班子担任主任、副主任，单位及部门负责人为成员的环保能源管理委员会，全面领导公司环境保护、能源工作。公司设有能源环保部，负责能源环保综合管理、低碳管理、能源生产等公司日常能源环保工作。每年制定环保、能源目标、考核细则，对各二级单位指标进行考核和评价。</w:t>
            </w:r>
          </w:p>
          <w:p w:rsidR="0062660B" w:rsidRDefault="005F1973">
            <w:pPr>
              <w:ind w:firstLineChars="200" w:firstLine="480"/>
            </w:pPr>
            <w:r>
              <w:rPr>
                <w:rFonts w:ascii="仿宋_GB2312" w:eastAsia="仿宋_GB2312" w:hAnsi="仿宋_GB2312" w:cs="仿宋_GB2312" w:hint="eastAsia"/>
                <w:sz w:val="24"/>
                <w:lang w:bidi="ar"/>
              </w:rPr>
              <w:t>为强化公司环保工作，有效控制污染物的产生和排放，改善 厂区、生活区的环境质量，激发全员做好环保管理的积极性和主动性，制定了《环保绩效综合评价办法》，每季度实施，每季度根据办法进行综合评价奖优罚劣。</w:t>
            </w:r>
          </w:p>
          <w:p w:rsidR="0062660B" w:rsidRDefault="005F1973">
            <w:pPr>
              <w:ind w:firstLineChars="200" w:firstLine="480"/>
              <w:rPr>
                <w:rFonts w:ascii="仿宋_GB2312" w:eastAsia="仿宋_GB2312" w:hAnsi="宋体" w:cs="黑体"/>
                <w:sz w:val="24"/>
              </w:rPr>
            </w:pPr>
            <w:r>
              <w:rPr>
                <w:rFonts w:ascii="楷体" w:eastAsia="楷体" w:hAnsi="楷体" w:cs="楷体" w:hint="eastAsia"/>
                <w:sz w:val="24"/>
              </w:rPr>
              <w:t>2、企业清洁生产规划和年度工作计划制定目标清晰与执行到位</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新余钢铁集团有限公司始终以习近平新时代中国特色社会主义思想为指导，牢固树立“绿水青山就是金山银山”理念，为深入学习和贯彻习近平总书记进一步推动长江经济带高质量发展座谈会的讲话精神，积极践行“共抓大保护、不搞大开发”，印发《新余钢铁集团有限公司长江流域环境保护工作方案》，明确“废水零排放”、“废气超低排”、“固废不出厂”规划目标、保障措施及重点项目推进要求，目前正在有序推动中。</w:t>
            </w:r>
          </w:p>
          <w:p w:rsidR="0062660B" w:rsidRDefault="005F1973">
            <w:pPr>
              <w:rPr>
                <w:rFonts w:ascii="仿宋_GB2312" w:eastAsia="仿宋_GB2312" w:hAnsi="仿宋_GB2312" w:cs="仿宋_GB2312"/>
                <w:sz w:val="24"/>
              </w:rPr>
            </w:pPr>
            <w:r>
              <w:rPr>
                <w:rFonts w:ascii="仿宋_GB2312" w:eastAsia="仿宋_GB2312" w:hAnsi="仿宋_GB2312" w:cs="仿宋_GB2312" w:hint="eastAsia"/>
                <w:sz w:val="24"/>
              </w:rPr>
              <w:t>推进“废气超低排、废水零排放、固废不出厂、碳达峰碳中和”的节能环保总目标。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1.废气超低排目标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第一阶段（2023年—2024年）：邀请业内一流的咨询机构开展超低排放预评估工作，制定切实可行的实施规划。基本完成无组织、有组织提标项目建设和对车辆进行更新，并开发符合超低排放改造的门禁系统。</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第二阶段（-2025年）：完成清洁运输、有组织、无组织超低排放公示。</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2.废水零排放目标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第一阶段（2023年—2025年）：开展水平衡测试，完成管网漏损检测和修复，优化中水回用系统，大幅减少新水用量和生产废水排放量，吨钢新水耗量降低到3.5m</w:t>
            </w:r>
            <w:r>
              <w:rPr>
                <w:rFonts w:ascii="仿宋_GB2312" w:eastAsia="仿宋_GB2312" w:hAnsi="仿宋_GB2312" w:cs="仿宋_GB2312" w:hint="eastAsia"/>
                <w:sz w:val="24"/>
                <w:vertAlign w:val="superscript"/>
                <w:lang w:bidi="ar"/>
              </w:rPr>
              <w:t>3</w:t>
            </w:r>
            <w:r>
              <w:rPr>
                <w:rFonts w:ascii="仿宋_GB2312" w:eastAsia="仿宋_GB2312" w:hAnsi="仿宋_GB2312" w:cs="仿宋_GB2312" w:hint="eastAsia"/>
                <w:sz w:val="24"/>
                <w:lang w:bidi="ar"/>
              </w:rPr>
              <w:t>/t，进入江西省炼钢行业用水定额的先进行列。雨污分流基本完成，为后续零排放的实施提供基础和保障。</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第二阶段（-2028年）：雨污分流持续查缺补漏，基本实现废水零排放，并且新水用量进一步减少，吨钢新水耗量降低到2.9m</w:t>
            </w:r>
            <w:r>
              <w:rPr>
                <w:rFonts w:ascii="仿宋_GB2312" w:eastAsia="仿宋_GB2312" w:hAnsi="仿宋_GB2312" w:cs="仿宋_GB2312" w:hint="eastAsia"/>
                <w:sz w:val="24"/>
                <w:vertAlign w:val="superscript"/>
                <w:lang w:bidi="ar"/>
              </w:rPr>
              <w:t>3</w:t>
            </w:r>
            <w:r>
              <w:rPr>
                <w:rFonts w:ascii="仿宋_GB2312" w:eastAsia="仿宋_GB2312" w:hAnsi="仿宋_GB2312" w:cs="仿宋_GB2312" w:hint="eastAsia"/>
                <w:sz w:val="24"/>
                <w:lang w:bidi="ar"/>
              </w:rPr>
              <w:t>/t，进入江西省钢铁行业用水定额的领跑行列。</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3.固废不出厂目标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第一阶段（2023—2025年）：固危废100%合规性处置，一般工业固废综合利用率100%。</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第二阶段（-2028年）：固危废100%合规性处置，一般工业固废综合利用率100%，实现“固废不出厂”目标。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4.碳达峰、碳中和目标</w:t>
            </w:r>
          </w:p>
          <w:p w:rsidR="0062660B" w:rsidRDefault="005F1973">
            <w:pPr>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第一阶段（2023—2025年）：实现碳达峰，2025年吨钢综合能耗（新钢集团口径）不超过600kgce/t。</w:t>
            </w:r>
          </w:p>
          <w:p w:rsidR="0062660B" w:rsidRDefault="005F1973">
            <w:pPr>
              <w:ind w:firstLineChars="200" w:firstLine="480"/>
              <w:rPr>
                <w:rFonts w:ascii="仿宋_GB2312" w:eastAsia="仿宋_GB2312" w:cs="仿宋_GB2312"/>
                <w:sz w:val="24"/>
                <w:lang w:bidi="ar"/>
              </w:rPr>
            </w:pPr>
            <w:r>
              <w:rPr>
                <w:rFonts w:ascii="仿宋_GB2312" w:eastAsia="仿宋_GB2312" w:hAnsi="仿宋_GB2312" w:cs="仿宋_GB2312" w:hint="eastAsia"/>
                <w:sz w:val="24"/>
                <w:lang w:bidi="ar"/>
              </w:rPr>
              <w:t>第二阶段（-2028年）：2028年吨钢综合能耗（新钢集团口径）下降至550kgce/t、吨钢二氧化碳排放下降至1.56tCO</w:t>
            </w:r>
            <w:r>
              <w:rPr>
                <w:rFonts w:ascii="仿宋_GB2312" w:eastAsia="仿宋_GB2312" w:hAnsi="仿宋_GB2312" w:cs="仿宋_GB2312" w:hint="eastAsia"/>
                <w:sz w:val="24"/>
                <w:vertAlign w:val="subscript"/>
                <w:lang w:bidi="ar"/>
              </w:rPr>
              <w:t>2</w:t>
            </w:r>
            <w:r>
              <w:rPr>
                <w:rFonts w:ascii="仿宋_GB2312" w:eastAsia="仿宋_GB2312" w:hAnsi="仿宋_GB2312" w:cs="仿宋_GB2312" w:hint="eastAsia"/>
                <w:sz w:val="24"/>
                <w:lang w:bidi="ar"/>
              </w:rPr>
              <w:t>/t，持续提升绿色化水平。</w:t>
            </w:r>
          </w:p>
          <w:p w:rsidR="0062660B" w:rsidRDefault="005F1973">
            <w:pPr>
              <w:ind w:firstLineChars="200" w:firstLine="480"/>
              <w:rPr>
                <w:rFonts w:ascii="仿宋_GB2312" w:eastAsia="仿宋_GB2312" w:cs="仿宋_GB2312"/>
                <w:sz w:val="24"/>
                <w:lang w:bidi="ar"/>
              </w:rPr>
            </w:pPr>
            <w:r>
              <w:rPr>
                <w:rFonts w:ascii="楷体" w:eastAsia="楷体" w:hAnsi="楷体" w:cs="楷体" w:hint="eastAsia"/>
                <w:sz w:val="24"/>
              </w:rPr>
              <w:t>3、根据企业装备技术和资源产品特点，结合企业所在地的社会人文环境，在企业内部技术和管理方面有特点特色的创新活动</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近几年，新钢投资4.94亿元实施22个清洁工程项目建设，持续优化进厂原燃料运路线，大力开展货运车辆飘洒整治，集中治理厂区道路、生产现场、建筑工地扬尘，大范围开展厂区绿化美化建设，投资3.2亿元建设改造完成14条主次道路，对全部876个班组进行“三室一间”改造，与新余市共同投资3亿多元建设“袁河公园”，让昔日渣山变公园。</w:t>
            </w:r>
          </w:p>
          <w:p w:rsidR="0062660B" w:rsidRDefault="005F1973">
            <w:pPr>
              <w:widowControl/>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新钢投资改造厂区道路，大力绿化、美化厂区环境。2021年以来，新钢新增80万㎡绿化面积，厂区总绿化面积达180万㎡。同时共改造、新建20余条厂区道路，包括新建一条环厂路，完成轧钢路、星光大道、铁一路、动力路等道路的美化亮化改造，总长度达到近百公里。目前，新钢厂区道路基本达到市政道路标准，厂区环境初步达到工业旅游景区标准。</w:t>
            </w:r>
          </w:p>
          <w:p w:rsidR="0062660B" w:rsidRDefault="005F1973">
            <w:pPr>
              <w:ind w:firstLineChars="200" w:firstLine="480"/>
              <w:rPr>
                <w:rFonts w:ascii="仿宋_GB2312" w:eastAsia="仿宋_GB2312" w:hAnsi="宋体" w:cs="黑体"/>
                <w:sz w:val="24"/>
              </w:rPr>
            </w:pPr>
            <w:r>
              <w:rPr>
                <w:rFonts w:ascii="楷体" w:eastAsia="楷体" w:hAnsi="楷体" w:cs="楷体" w:hint="eastAsia"/>
                <w:sz w:val="24"/>
              </w:rPr>
              <w:t>4、企业开展和参与社会环境友好活动的创新和贡献。</w:t>
            </w:r>
          </w:p>
          <w:p w:rsidR="0062660B" w:rsidRDefault="005F1973">
            <w:pPr>
              <w:ind w:firstLineChars="200" w:firstLine="480"/>
              <w:rPr>
                <w:rFonts w:ascii="仿宋_GB2312" w:eastAsia="仿宋_GB2312" w:cs="黑体"/>
                <w:sz w:val="24"/>
              </w:rPr>
            </w:pPr>
            <w:r>
              <w:rPr>
                <w:rFonts w:ascii="仿宋_GB2312" w:eastAsia="仿宋_GB2312" w:hAnsi="仿宋_GB2312" w:cs="仿宋_GB2312" w:hint="eastAsia"/>
                <w:sz w:val="24"/>
                <w:lang w:bidi="ar"/>
              </w:rPr>
              <w:t>为加快工业旅游事业发展，新钢集团经过长期筹划，于今年初制定并推出《印象新钢》“工业旅游十景”规划，经常性结合相关活动对周边居民参观开放。新钢以“全面推进美丽中国建设”为主题，组织开展六五环境日环保主题厂区开放日活动，分批次有组织邀请新余市、区人大代表、周边居民、中小学生等进厂参观新钢重点环保项目宣传新钢烟气治理情况、固体废弃物治理情况、超低排放改造项目推进情况，通过环保主题厂区开放日，进一步提升周边居民对新钢的认同度。</w:t>
            </w:r>
          </w:p>
          <w:p w:rsidR="0062660B" w:rsidRDefault="005F1973">
            <w:pPr>
              <w:ind w:firstLineChars="200" w:firstLine="482"/>
              <w:rPr>
                <w:rFonts w:ascii="仿宋_GB2312" w:eastAsia="仿宋_GB2312" w:cs="仿宋_GB2312"/>
                <w:sz w:val="24"/>
                <w:lang w:bidi="ar"/>
              </w:rPr>
            </w:pPr>
            <w:r>
              <w:rPr>
                <w:rFonts w:ascii="仿宋_GB2312" w:eastAsia="仿宋_GB2312" w:hAnsi="宋体" w:cs="黑体" w:hint="eastAsia"/>
                <w:b/>
                <w:bCs/>
                <w:sz w:val="24"/>
              </w:rPr>
              <w:t>五、企业清洁生产环境友好方面有待改进和加强的内容</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新钢为进一步提升清洁生产水平，提出以下重点任务：</w:t>
            </w:r>
          </w:p>
          <w:p w:rsidR="0062660B" w:rsidRDefault="005F1973">
            <w:pPr>
              <w:pStyle w:val="a5"/>
              <w:ind w:firstLineChars="200" w:firstLine="480"/>
              <w:jc w:val="both"/>
              <w:outlineLvl w:val="1"/>
              <w:rPr>
                <w:rFonts w:ascii="仿宋_GB2312" w:eastAsia="仿宋_GB2312" w:hAnsi="仿宋_GB2312" w:cs="仿宋_GB2312"/>
                <w:sz w:val="24"/>
                <w:szCs w:val="24"/>
                <w:lang w:bidi="ar"/>
              </w:rPr>
            </w:pPr>
            <w:bookmarkStart w:id="1" w:name="_Toc26843"/>
            <w:bookmarkStart w:id="2" w:name="_Toc18867"/>
            <w:r>
              <w:rPr>
                <w:rFonts w:ascii="仿宋_GB2312" w:eastAsia="仿宋_GB2312" w:hAnsi="仿宋_GB2312" w:cs="仿宋_GB2312" w:hint="eastAsia"/>
                <w:sz w:val="24"/>
                <w:szCs w:val="24"/>
                <w:lang w:bidi="ar"/>
              </w:rPr>
              <w:t>（一）以“三治四化”为重点，坚定不移推进长江重点流域生态环境保护工作</w:t>
            </w:r>
            <w:bookmarkEnd w:id="1"/>
            <w:bookmarkEnd w:id="2"/>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1.推进“废水零排放”工作，持续开展雨污分流消缺整改；</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2.加快推进超低排放工作，争创环保绩效A级企业；</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3.深化“固废不出厂”工作，助推“无废钢厂”建设；</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4.推进绿色矿山建设，强化尾矿库规范性管理。</w:t>
            </w:r>
          </w:p>
          <w:p w:rsidR="0062660B" w:rsidRDefault="005F1973">
            <w:pPr>
              <w:pStyle w:val="a5"/>
              <w:ind w:firstLineChars="200" w:firstLine="480"/>
              <w:jc w:val="both"/>
              <w:outlineLvl w:val="1"/>
              <w:rPr>
                <w:rFonts w:ascii="仿宋_GB2312" w:eastAsia="仿宋_GB2312" w:hAnsi="仿宋_GB2312" w:cs="仿宋_GB2312"/>
                <w:sz w:val="24"/>
                <w:szCs w:val="24"/>
                <w:lang w:bidi="ar"/>
              </w:rPr>
            </w:pPr>
            <w:bookmarkStart w:id="3" w:name="_Toc25104"/>
            <w:bookmarkStart w:id="4" w:name="_Toc19141"/>
            <w:bookmarkStart w:id="5" w:name="_Toc6565"/>
            <w:r>
              <w:rPr>
                <w:rFonts w:ascii="仿宋_GB2312" w:eastAsia="仿宋_GB2312" w:hAnsi="仿宋_GB2312" w:cs="仿宋_GB2312" w:hint="eastAsia"/>
                <w:sz w:val="24"/>
                <w:szCs w:val="24"/>
                <w:lang w:bidi="ar"/>
              </w:rPr>
              <w:t>（二）以“极致能效”为抓手，坚定不移推进绿色低碳转型发展</w:t>
            </w:r>
            <w:bookmarkEnd w:id="3"/>
            <w:bookmarkEnd w:id="4"/>
            <w:bookmarkEnd w:id="5"/>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1.强化能源监察，持续提升能源管理体系能力；</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2.推进极致能效技术应用，创建能效标杆示范厂；</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3.优化能源结构，提高清洁能源利用，降低外购电成本；</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4.推进双碳管理和低碳冶金技术研究</w:t>
            </w:r>
          </w:p>
          <w:p w:rsidR="0062660B" w:rsidRDefault="005F1973">
            <w:pPr>
              <w:pStyle w:val="a5"/>
              <w:ind w:firstLineChars="200" w:firstLine="480"/>
              <w:jc w:val="both"/>
              <w:outlineLvl w:val="1"/>
              <w:rPr>
                <w:rFonts w:ascii="仿宋_GB2312" w:eastAsia="仿宋_GB2312" w:hAnsi="仿宋_GB2312" w:cs="仿宋_GB2312"/>
                <w:sz w:val="24"/>
                <w:szCs w:val="24"/>
                <w:lang w:bidi="ar"/>
              </w:rPr>
            </w:pPr>
            <w:bookmarkStart w:id="6" w:name="_Toc20721"/>
            <w:bookmarkStart w:id="7" w:name="_Toc30482"/>
            <w:bookmarkStart w:id="8" w:name="_Toc12886"/>
            <w:r>
              <w:rPr>
                <w:rFonts w:ascii="仿宋_GB2312" w:eastAsia="仿宋_GB2312" w:hAnsi="仿宋_GB2312" w:cs="仿宋_GB2312" w:hint="eastAsia"/>
                <w:sz w:val="24"/>
                <w:szCs w:val="24"/>
                <w:lang w:bidi="ar"/>
              </w:rPr>
              <w:t>（三）以“防范风险”为目标，坚决守牢生态环境保护底线</w:t>
            </w:r>
            <w:bookmarkEnd w:id="6"/>
            <w:bookmarkEnd w:id="7"/>
            <w:bookmarkEnd w:id="8"/>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1.深化环保督察检查，强化问题整改与闭环管理。</w:t>
            </w:r>
          </w:p>
          <w:p w:rsidR="0062660B" w:rsidRDefault="005F1973">
            <w:pPr>
              <w:pStyle w:val="a5"/>
              <w:ind w:firstLineChars="200" w:firstLine="480"/>
              <w:jc w:val="both"/>
              <w:rPr>
                <w:rFonts w:ascii="仿宋_GB2312" w:eastAsia="仿宋_GB2312" w:hAnsi="仿宋_GB2312" w:cs="仿宋_GB2312"/>
                <w:sz w:val="24"/>
                <w:szCs w:val="24"/>
                <w:lang w:bidi="ar"/>
              </w:rPr>
            </w:pPr>
            <w:r>
              <w:rPr>
                <w:rFonts w:ascii="仿宋_GB2312" w:eastAsia="仿宋_GB2312" w:hAnsi="仿宋_GB2312" w:cs="仿宋_GB2312" w:hint="eastAsia"/>
                <w:sz w:val="24"/>
                <w:szCs w:val="24"/>
                <w:lang w:bidi="ar"/>
              </w:rPr>
              <w:t>2.做好应急预案管理，强化环保风险辨识和管控。</w:t>
            </w:r>
          </w:p>
          <w:p w:rsidR="0062660B" w:rsidRDefault="005F1973">
            <w:pPr>
              <w:pStyle w:val="a5"/>
              <w:ind w:firstLineChars="200" w:firstLine="480"/>
              <w:jc w:val="both"/>
              <w:rPr>
                <w:rFonts w:ascii="仿宋_GB2312" w:eastAsia="仿宋_GB2312" w:hAnsi="仿宋_GB2312" w:cs="仿宋_GB2312"/>
                <w:sz w:val="32"/>
                <w:szCs w:val="32"/>
              </w:rPr>
            </w:pPr>
            <w:r>
              <w:rPr>
                <w:rFonts w:ascii="仿宋_GB2312" w:eastAsia="仿宋_GB2312" w:hAnsi="仿宋_GB2312" w:cs="仿宋_GB2312" w:hint="eastAsia"/>
                <w:sz w:val="24"/>
                <w:szCs w:val="24"/>
                <w:lang w:bidi="ar"/>
              </w:rPr>
              <w:t>3.抓好环保日常监管，强化放射源及射线装置管控。</w:t>
            </w:r>
          </w:p>
          <w:p w:rsidR="0062660B" w:rsidRDefault="0062660B">
            <w:pPr>
              <w:pStyle w:val="2"/>
            </w:pPr>
          </w:p>
          <w:p w:rsidR="0062660B" w:rsidRDefault="0062660B">
            <w:pPr>
              <w:jc w:val="left"/>
              <w:rPr>
                <w:rFonts w:ascii="宋体"/>
              </w:rPr>
            </w:pPr>
          </w:p>
        </w:tc>
      </w:tr>
    </w:tbl>
    <w:p w:rsidR="0062660B" w:rsidRDefault="005F1973" w:rsidP="001D65A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62660B" w:rsidRDefault="005F1973" w:rsidP="001D65A0">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708"/>
        <w:gridCol w:w="5765"/>
        <w:gridCol w:w="2045"/>
      </w:tblGrid>
      <w:tr w:rsidR="0062660B">
        <w:trPr>
          <w:trHeight w:val="534"/>
        </w:trPr>
        <w:tc>
          <w:tcPr>
            <w:tcW w:w="818" w:type="dxa"/>
            <w:vAlign w:val="center"/>
          </w:tcPr>
          <w:p w:rsidR="0062660B" w:rsidRDefault="005F1973">
            <w:pPr>
              <w:spacing w:line="360" w:lineRule="exact"/>
              <w:jc w:val="center"/>
              <w:rPr>
                <w:rFonts w:ascii="宋体" w:hAnsi="宋体"/>
                <w:sz w:val="24"/>
              </w:rPr>
            </w:pPr>
            <w:r>
              <w:rPr>
                <w:rFonts w:ascii="宋体" w:hAnsi="宋体" w:hint="eastAsia"/>
                <w:sz w:val="24"/>
              </w:rPr>
              <w:t>类别</w:t>
            </w:r>
          </w:p>
        </w:tc>
        <w:tc>
          <w:tcPr>
            <w:tcW w:w="708" w:type="dxa"/>
            <w:vAlign w:val="center"/>
          </w:tcPr>
          <w:p w:rsidR="0062660B" w:rsidRDefault="005F1973">
            <w:pPr>
              <w:spacing w:line="360" w:lineRule="exact"/>
              <w:jc w:val="center"/>
              <w:rPr>
                <w:rFonts w:ascii="宋体" w:hAnsi="宋体"/>
                <w:sz w:val="24"/>
              </w:rPr>
            </w:pPr>
            <w:r>
              <w:rPr>
                <w:rFonts w:ascii="宋体" w:hAnsi="宋体" w:hint="eastAsia"/>
                <w:sz w:val="24"/>
              </w:rPr>
              <w:t>序号</w:t>
            </w:r>
          </w:p>
        </w:tc>
        <w:tc>
          <w:tcPr>
            <w:tcW w:w="5765" w:type="dxa"/>
            <w:vAlign w:val="center"/>
          </w:tcPr>
          <w:p w:rsidR="0062660B" w:rsidRDefault="005F1973">
            <w:pPr>
              <w:spacing w:line="360" w:lineRule="exact"/>
              <w:jc w:val="center"/>
              <w:rPr>
                <w:rFonts w:ascii="宋体" w:hAnsi="宋体"/>
                <w:sz w:val="24"/>
              </w:rPr>
            </w:pPr>
            <w:r>
              <w:rPr>
                <w:rFonts w:ascii="宋体" w:hAnsi="宋体" w:hint="eastAsia"/>
                <w:sz w:val="24"/>
              </w:rPr>
              <w:t>事项</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承诺及说明</w:t>
            </w:r>
          </w:p>
        </w:tc>
      </w:tr>
      <w:tr w:rsidR="0062660B">
        <w:trPr>
          <w:trHeight w:val="534"/>
        </w:trPr>
        <w:tc>
          <w:tcPr>
            <w:tcW w:w="818" w:type="dxa"/>
            <w:vMerge w:val="restart"/>
            <w:vAlign w:val="center"/>
          </w:tcPr>
          <w:p w:rsidR="0062660B" w:rsidRDefault="005F1973">
            <w:pPr>
              <w:spacing w:line="360" w:lineRule="exact"/>
              <w:jc w:val="center"/>
              <w:rPr>
                <w:rFonts w:ascii="宋体" w:hAnsi="宋体"/>
                <w:sz w:val="24"/>
              </w:rPr>
            </w:pPr>
            <w:r>
              <w:rPr>
                <w:rFonts w:ascii="宋体" w:hAnsi="宋体" w:hint="eastAsia"/>
                <w:sz w:val="24"/>
              </w:rPr>
              <w:t>规范经营</w:t>
            </w: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r w:rsidR="0062660B">
        <w:trPr>
          <w:trHeight w:val="534"/>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r w:rsidR="0062660B">
        <w:trPr>
          <w:trHeight w:val="1055"/>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r w:rsidR="0062660B">
        <w:trPr>
          <w:trHeight w:val="534"/>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r w:rsidR="0062660B">
        <w:trPr>
          <w:trHeight w:val="534"/>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r w:rsidR="0062660B">
        <w:trPr>
          <w:trHeight w:val="2616"/>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5" w:type="dxa"/>
            <w:vAlign w:val="center"/>
          </w:tcPr>
          <w:p w:rsidR="0062660B" w:rsidRDefault="005F1973">
            <w:pPr>
              <w:widowControl/>
              <w:spacing w:line="360" w:lineRule="exact"/>
              <w:jc w:val="center"/>
              <w:rPr>
                <w:rFonts w:ascii="宋体" w:hAnsi="宋体"/>
                <w:sz w:val="24"/>
              </w:rPr>
            </w:pPr>
            <w:r>
              <w:rPr>
                <w:rFonts w:ascii="宋体" w:hAnsi="宋体" w:hint="eastAsia"/>
                <w:sz w:val="24"/>
              </w:rPr>
              <w:t>符合</w:t>
            </w:r>
          </w:p>
        </w:tc>
      </w:tr>
      <w:tr w:rsidR="0062660B">
        <w:trPr>
          <w:trHeight w:val="1575"/>
        </w:trPr>
        <w:tc>
          <w:tcPr>
            <w:tcW w:w="818" w:type="dxa"/>
            <w:vAlign w:val="center"/>
          </w:tcPr>
          <w:p w:rsidR="0062660B" w:rsidRDefault="005F1973">
            <w:pPr>
              <w:spacing w:line="360" w:lineRule="exact"/>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5" w:type="dxa"/>
            <w:vAlign w:val="center"/>
          </w:tcPr>
          <w:p w:rsidR="0062660B" w:rsidRDefault="005F1973">
            <w:pPr>
              <w:widowControl/>
              <w:spacing w:line="360" w:lineRule="exact"/>
              <w:jc w:val="center"/>
              <w:rPr>
                <w:rFonts w:ascii="宋体" w:hAnsi="宋体"/>
                <w:sz w:val="24"/>
              </w:rPr>
            </w:pPr>
            <w:r>
              <w:rPr>
                <w:rFonts w:ascii="宋体" w:hAnsi="宋体" w:hint="eastAsia"/>
                <w:sz w:val="24"/>
              </w:rPr>
              <w:t>符合</w:t>
            </w:r>
          </w:p>
        </w:tc>
      </w:tr>
      <w:tr w:rsidR="0062660B">
        <w:trPr>
          <w:trHeight w:val="1055"/>
        </w:trPr>
        <w:tc>
          <w:tcPr>
            <w:tcW w:w="818" w:type="dxa"/>
            <w:vAlign w:val="center"/>
          </w:tcPr>
          <w:p w:rsidR="0062660B" w:rsidRDefault="005F1973">
            <w:pPr>
              <w:spacing w:line="360" w:lineRule="exact"/>
              <w:jc w:val="center"/>
              <w:rPr>
                <w:rFonts w:ascii="宋体" w:hAnsi="宋体"/>
                <w:sz w:val="24"/>
              </w:rPr>
            </w:pPr>
            <w:r>
              <w:rPr>
                <w:rFonts w:asciiTheme="minorEastAsia" w:eastAsiaTheme="minorEastAsia" w:hAnsiTheme="minorEastAsia" w:hint="eastAsia"/>
                <w:sz w:val="24"/>
                <w:szCs w:val="32"/>
              </w:rPr>
              <w:t>认真履责</w:t>
            </w: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5" w:type="dxa"/>
            <w:vAlign w:val="center"/>
          </w:tcPr>
          <w:p w:rsidR="0062660B" w:rsidRDefault="005F1973">
            <w:pPr>
              <w:widowControl/>
              <w:spacing w:line="360" w:lineRule="exact"/>
              <w:jc w:val="center"/>
              <w:rPr>
                <w:rFonts w:ascii="宋体" w:hAnsi="宋体"/>
                <w:sz w:val="24"/>
              </w:rPr>
            </w:pPr>
            <w:r>
              <w:rPr>
                <w:rFonts w:ascii="宋体" w:hAnsi="宋体" w:hint="eastAsia"/>
                <w:sz w:val="24"/>
              </w:rPr>
              <w:t>符合</w:t>
            </w:r>
          </w:p>
        </w:tc>
      </w:tr>
      <w:tr w:rsidR="0062660B">
        <w:trPr>
          <w:trHeight w:val="534"/>
        </w:trPr>
        <w:tc>
          <w:tcPr>
            <w:tcW w:w="818" w:type="dxa"/>
            <w:vMerge w:val="restart"/>
            <w:vAlign w:val="center"/>
          </w:tcPr>
          <w:p w:rsidR="0062660B" w:rsidRDefault="005F1973">
            <w:pPr>
              <w:spacing w:line="360" w:lineRule="exact"/>
              <w:jc w:val="center"/>
              <w:rPr>
                <w:rFonts w:ascii="宋体" w:hAnsi="宋体"/>
                <w:sz w:val="24"/>
              </w:rPr>
            </w:pPr>
            <w:r>
              <w:rPr>
                <w:rFonts w:asciiTheme="minorEastAsia" w:eastAsiaTheme="minorEastAsia" w:hAnsiTheme="minorEastAsia" w:hint="eastAsia"/>
                <w:sz w:val="24"/>
                <w:szCs w:val="32"/>
              </w:rPr>
              <w:t>有效管控风险</w:t>
            </w: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5" w:type="dxa"/>
            <w:vAlign w:val="center"/>
          </w:tcPr>
          <w:p w:rsidR="0062660B" w:rsidRDefault="005F1973">
            <w:pPr>
              <w:widowControl/>
              <w:spacing w:line="360" w:lineRule="exact"/>
              <w:jc w:val="center"/>
              <w:rPr>
                <w:rFonts w:ascii="宋体" w:hAnsi="宋体"/>
                <w:sz w:val="24"/>
              </w:rPr>
            </w:pPr>
            <w:r>
              <w:rPr>
                <w:rFonts w:ascii="宋体" w:hAnsi="宋体" w:hint="eastAsia"/>
                <w:sz w:val="24"/>
              </w:rPr>
              <w:t>符合</w:t>
            </w:r>
          </w:p>
        </w:tc>
      </w:tr>
      <w:tr w:rsidR="0062660B">
        <w:trPr>
          <w:trHeight w:val="1589"/>
        </w:trPr>
        <w:tc>
          <w:tcPr>
            <w:tcW w:w="818" w:type="dxa"/>
            <w:vMerge/>
            <w:vAlign w:val="center"/>
          </w:tcPr>
          <w:p w:rsidR="0062660B" w:rsidRDefault="0062660B">
            <w:pPr>
              <w:spacing w:line="360" w:lineRule="exact"/>
              <w:jc w:val="center"/>
              <w:rPr>
                <w:rFonts w:ascii="宋体" w:hAnsi="宋体"/>
                <w:sz w:val="24"/>
              </w:rPr>
            </w:pPr>
          </w:p>
        </w:tc>
        <w:tc>
          <w:tcPr>
            <w:tcW w:w="708" w:type="dxa"/>
            <w:vAlign w:val="center"/>
          </w:tcPr>
          <w:p w:rsidR="0062660B" w:rsidRDefault="0062660B">
            <w:pPr>
              <w:numPr>
                <w:ilvl w:val="0"/>
                <w:numId w:val="1"/>
              </w:numPr>
              <w:spacing w:line="360" w:lineRule="exact"/>
              <w:ind w:left="0" w:firstLine="0"/>
              <w:jc w:val="center"/>
              <w:rPr>
                <w:rFonts w:ascii="宋体" w:hAnsi="宋体"/>
                <w:sz w:val="24"/>
              </w:rPr>
            </w:pPr>
          </w:p>
        </w:tc>
        <w:tc>
          <w:tcPr>
            <w:tcW w:w="5765" w:type="dxa"/>
            <w:vAlign w:val="center"/>
          </w:tcPr>
          <w:p w:rsidR="0062660B" w:rsidRDefault="005F1973">
            <w:pPr>
              <w:spacing w:line="360" w:lineRule="exact"/>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5" w:type="dxa"/>
            <w:vAlign w:val="center"/>
          </w:tcPr>
          <w:p w:rsidR="0062660B" w:rsidRDefault="005F1973">
            <w:pPr>
              <w:spacing w:line="360" w:lineRule="exact"/>
              <w:jc w:val="center"/>
              <w:rPr>
                <w:rFonts w:ascii="宋体" w:hAnsi="宋体"/>
                <w:sz w:val="24"/>
              </w:rPr>
            </w:pPr>
            <w:r>
              <w:rPr>
                <w:rFonts w:ascii="宋体" w:hAnsi="宋体" w:hint="eastAsia"/>
                <w:sz w:val="24"/>
              </w:rPr>
              <w:t>符合</w:t>
            </w:r>
          </w:p>
        </w:tc>
      </w:tr>
    </w:tbl>
    <w:p w:rsidR="0062660B" w:rsidRDefault="0062660B">
      <w:pPr>
        <w:jc w:val="center"/>
        <w:rPr>
          <w:rFonts w:eastAsia="黑体"/>
          <w:sz w:val="32"/>
          <w:szCs w:val="32"/>
        </w:rPr>
      </w:pPr>
    </w:p>
    <w:p w:rsidR="0062660B" w:rsidRDefault="005F1973" w:rsidP="001D65A0">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62660B" w:rsidRDefault="005F1973">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62660B" w:rsidRDefault="005F1973" w:rsidP="001D65A0">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根据规范的定义，在表中标明企业自己的实际情况和计算的指标。数据以2023年全年数据为主，兼顾2022年全年和2024年一季度。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62660B">
        <w:trPr>
          <w:cantSplit/>
          <w:trHeight w:val="556"/>
          <w:tblHeader/>
          <w:jc w:val="center"/>
        </w:trPr>
        <w:tc>
          <w:tcPr>
            <w:tcW w:w="4334" w:type="dxa"/>
            <w:vAlign w:val="center"/>
          </w:tcPr>
          <w:p w:rsidR="0062660B" w:rsidRDefault="005F1973">
            <w:pPr>
              <w:adjustRightInd w:val="0"/>
              <w:snapToGrid w:val="0"/>
              <w:jc w:val="center"/>
              <w:rPr>
                <w:rFonts w:ascii="宋体" w:hAnsi="宋体" w:cs="宋体"/>
                <w:bCs/>
                <w:kern w:val="24"/>
                <w:sz w:val="24"/>
              </w:rPr>
            </w:pPr>
            <w:r>
              <w:rPr>
                <w:rFonts w:ascii="宋体" w:hAnsi="宋体" w:cs="宋体" w:hint="eastAsia"/>
                <w:bCs/>
                <w:kern w:val="24"/>
                <w:sz w:val="24"/>
              </w:rPr>
              <w:t>指标项</w:t>
            </w:r>
          </w:p>
        </w:tc>
        <w:tc>
          <w:tcPr>
            <w:tcW w:w="4347" w:type="dxa"/>
            <w:vAlign w:val="center"/>
          </w:tcPr>
          <w:p w:rsidR="0062660B" w:rsidRDefault="005F1973">
            <w:pPr>
              <w:snapToGrid w:val="0"/>
              <w:jc w:val="center"/>
              <w:rPr>
                <w:rFonts w:ascii="宋体" w:hAnsi="宋体" w:cs="宋体"/>
                <w:bCs/>
                <w:kern w:val="24"/>
                <w:sz w:val="24"/>
              </w:rPr>
            </w:pPr>
            <w:r>
              <w:rPr>
                <w:rFonts w:ascii="宋体" w:hAnsi="宋体" w:cs="宋体" w:hint="eastAsia"/>
                <w:bCs/>
                <w:kern w:val="24"/>
                <w:sz w:val="24"/>
              </w:rPr>
              <w:t>企业实际情况和指标</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一、生产工艺装备与技术指标</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1.焦炉装备配置率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color w:val="000000"/>
                <w:sz w:val="24"/>
              </w:rPr>
              <w:t>58孔6m焦炉2座，65孔7m焦炉2座，满足II级基准值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2.烧结机装备配置率</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115 ㎡烧结机1台、180㎡烧结机1台、360㎡烧结机3台，300㎡及以上烧结机，配置率≥60% ，</w:t>
            </w:r>
            <w:r>
              <w:rPr>
                <w:rFonts w:ascii="宋体" w:hAnsi="宋体" w:cs="宋体" w:hint="eastAsia"/>
                <w:color w:val="000000"/>
                <w:sz w:val="24"/>
              </w:rPr>
              <w:t>满足I级基准值</w:t>
            </w:r>
            <w:r>
              <w:rPr>
                <w:rFonts w:ascii="宋体" w:hAnsi="宋体" w:cs="宋体" w:hint="eastAsia"/>
                <w:color w:val="000000"/>
                <w:kern w:val="0"/>
                <w:sz w:val="24"/>
                <w:lang w:bidi="ar"/>
              </w:rPr>
              <w:t>（2024年115m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和180m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烧结机将退出，置换成660m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3.球团装备配置</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120万t链箅机-回转窑装置1套，单套设备球团生产规模 ≥120 万 t ，</w:t>
            </w:r>
            <w:r>
              <w:rPr>
                <w:rFonts w:ascii="宋体" w:hAnsi="宋体" w:cs="宋体" w:hint="eastAsia"/>
                <w:color w:val="000000"/>
                <w:sz w:val="24"/>
              </w:rPr>
              <w:t>满足III级基准值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4.高炉装备配置率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color w:val="000000"/>
                <w:kern w:val="0"/>
                <w:sz w:val="24"/>
                <w:lang w:bidi="ar"/>
              </w:rPr>
              <w:t>1311m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高炉1座，1235m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高炉1座，1253m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高炉1座，1468m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高炉1座、2712m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高炉2座，满足III级基准值</w:t>
            </w:r>
          </w:p>
        </w:tc>
      </w:tr>
      <w:tr w:rsidR="0062660B">
        <w:trPr>
          <w:cantSplit/>
          <w:trHeight w:val="722"/>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5.转炉装备配置率</w:t>
            </w:r>
          </w:p>
        </w:tc>
        <w:tc>
          <w:tcPr>
            <w:tcW w:w="4347" w:type="dxa"/>
            <w:vAlign w:val="center"/>
          </w:tcPr>
          <w:p w:rsidR="0062660B" w:rsidRDefault="005F1973">
            <w:pPr>
              <w:pStyle w:val="2"/>
              <w:jc w:val="left"/>
              <w:rPr>
                <w:rFonts w:ascii="宋体" w:hAnsi="宋体" w:cs="宋体"/>
                <w:sz w:val="24"/>
                <w:szCs w:val="24"/>
              </w:rPr>
            </w:pPr>
            <w:r>
              <w:rPr>
                <w:rFonts w:ascii="宋体" w:hAnsi="宋体" w:cs="宋体" w:hint="eastAsia"/>
                <w:color w:val="000000"/>
                <w:kern w:val="0"/>
                <w:sz w:val="24"/>
                <w:szCs w:val="24"/>
                <w:lang w:bidi="ar"/>
              </w:rPr>
              <w:t>2座210t转炉，3座100t转炉</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6.铁-钢高效衔接技术</w:t>
            </w:r>
          </w:p>
        </w:tc>
        <w:tc>
          <w:tcPr>
            <w:tcW w:w="4347" w:type="dxa"/>
            <w:vAlign w:val="center"/>
          </w:tcPr>
          <w:p w:rsidR="0062660B" w:rsidRDefault="005F1973">
            <w:pPr>
              <w:widowControl/>
              <w:jc w:val="left"/>
              <w:rPr>
                <w:rFonts w:ascii="宋体" w:hAnsi="宋体" w:cs="宋体"/>
                <w:sz w:val="24"/>
              </w:rPr>
            </w:pPr>
            <w:r>
              <w:rPr>
                <w:rFonts w:ascii="宋体" w:hAnsi="宋体" w:cs="宋体" w:hint="eastAsia"/>
                <w:color w:val="000000"/>
                <w:kern w:val="0"/>
                <w:sz w:val="24"/>
                <w:lang w:bidi="ar"/>
              </w:rPr>
              <w:t>采用了铁水一罐到底技术、铁罐加盖技术，温降约95℃，满足II级基准值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7.连铸坯热装热送技术</w:t>
            </w:r>
          </w:p>
        </w:tc>
        <w:tc>
          <w:tcPr>
            <w:tcW w:w="4347" w:type="dxa"/>
            <w:vAlign w:val="center"/>
          </w:tcPr>
          <w:p w:rsidR="0062660B" w:rsidRDefault="005F1973">
            <w:pPr>
              <w:jc w:val="left"/>
              <w:rPr>
                <w:rFonts w:ascii="宋体" w:hAnsi="宋体" w:cs="宋体"/>
                <w:bCs/>
                <w:kern w:val="24"/>
                <w:sz w:val="24"/>
              </w:rPr>
            </w:pPr>
            <w:r>
              <w:rPr>
                <w:rFonts w:ascii="宋体" w:hAnsi="宋体" w:cs="宋体" w:hint="eastAsia"/>
                <w:bCs/>
                <w:kern w:val="24"/>
                <w:sz w:val="24"/>
                <w:lang w:bidi="ar"/>
              </w:rPr>
              <w:t>热装温度≥400℃统计口径，5月份热装率中板线71.61%，厚板线73.93%，热轧83.52%，满足III级基准值</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二、节能减排装备及技术指标</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1.原料场污染控制技术</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原料场部分实现全封闭，剩余实现防尘网、大型机械化技术，满足II级基准值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2.熄焦装备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高温高压干熄焦装置，熄焦量95%，满足I级基准值</w:t>
            </w:r>
          </w:p>
        </w:tc>
      </w:tr>
      <w:tr w:rsidR="0062660B">
        <w:trPr>
          <w:cantSplit/>
          <w:trHeight w:val="640"/>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3.焦炉煤气脱硫脱氰装备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真空碳酸钾+干箱，H</w:t>
            </w:r>
            <w:r>
              <w:rPr>
                <w:rFonts w:ascii="宋体" w:hAnsi="宋体" w:cs="宋体" w:hint="eastAsia"/>
                <w:bCs/>
                <w:kern w:val="24"/>
                <w:sz w:val="24"/>
                <w:vertAlign w:val="subscript"/>
              </w:rPr>
              <w:t>2</w:t>
            </w:r>
            <w:r>
              <w:rPr>
                <w:rFonts w:ascii="宋体" w:hAnsi="宋体" w:cs="宋体" w:hint="eastAsia"/>
                <w:bCs/>
                <w:kern w:val="24"/>
                <w:sz w:val="24"/>
              </w:rPr>
              <w:t>S≤50mg/m</w:t>
            </w:r>
            <w:r>
              <w:rPr>
                <w:rFonts w:ascii="宋体" w:hAnsi="宋体" w:cs="宋体" w:hint="eastAsia"/>
                <w:bCs/>
                <w:kern w:val="24"/>
                <w:sz w:val="24"/>
                <w:vertAlign w:val="superscript"/>
              </w:rPr>
              <w:t>3</w:t>
            </w:r>
            <w:r>
              <w:rPr>
                <w:rFonts w:ascii="宋体" w:hAnsi="宋体" w:cs="宋体" w:hint="eastAsia"/>
                <w:bCs/>
                <w:kern w:val="24"/>
                <w:sz w:val="24"/>
              </w:rPr>
              <w:t>，满足II级基准值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4.煤调湿技术</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无,满足III级基准值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5.小球烧结技术及厚料层操作</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采用小球烧结技术及料层厚度≥720mm，</w:t>
            </w:r>
            <w:r>
              <w:rPr>
                <w:rFonts w:ascii="宋体" w:hAnsi="宋体" w:cs="宋体" w:hint="eastAsia"/>
                <w:bCs/>
                <w:kern w:val="24"/>
                <w:sz w:val="24"/>
              </w:rPr>
              <w:t>满足I级基准值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6.烧结余热回收利用装备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建有烧结余热回收利用装置，余热回收量7.0kgcet矿，满足III级基准值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7.烧结烟气综合净化技术</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采用烧结机头脱硫、脱硝烟气综合净化技术，</w:t>
            </w:r>
            <w:r>
              <w:rPr>
                <w:rFonts w:ascii="宋体" w:hAnsi="宋体" w:cs="宋体" w:hint="eastAsia"/>
                <w:color w:val="000000"/>
                <w:sz w:val="24"/>
              </w:rPr>
              <w:t>满足II级基准值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8.高炉煤气干法除尘装置配置率%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高炉煤气干法除尘装置配置率 100%，满足I级基准值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9.高炉炉顶煤气余压利用(TRT或BPRT)装置配置</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TRT 装置配置率 100%，发电量 40.9kWh/t 铁,</w:t>
            </w:r>
            <w:r>
              <w:rPr>
                <w:rFonts w:ascii="宋体" w:hAnsi="宋体" w:cs="宋体" w:hint="eastAsia"/>
                <w:bCs/>
                <w:kern w:val="24"/>
                <w:sz w:val="24"/>
              </w:rPr>
              <w:t>满足I级基准值</w:t>
            </w:r>
          </w:p>
        </w:tc>
      </w:tr>
      <w:tr w:rsidR="0062660B">
        <w:trPr>
          <w:cantSplit/>
          <w:trHeight w:val="567"/>
          <w:jc w:val="center"/>
        </w:trPr>
        <w:tc>
          <w:tcPr>
            <w:tcW w:w="4334" w:type="dxa"/>
            <w:vAlign w:val="center"/>
          </w:tcPr>
          <w:p w:rsidR="0062660B" w:rsidRDefault="005F1973">
            <w:pPr>
              <w:snapToGrid w:val="0"/>
              <w:ind w:left="360" w:hangingChars="150" w:hanging="360"/>
              <w:jc w:val="left"/>
              <w:rPr>
                <w:rFonts w:ascii="宋体" w:hAnsi="宋体" w:cs="宋体"/>
                <w:bCs/>
                <w:kern w:val="24"/>
                <w:sz w:val="24"/>
              </w:rPr>
            </w:pPr>
            <w:r>
              <w:rPr>
                <w:rFonts w:ascii="宋体" w:hAnsi="宋体" w:cs="宋体" w:hint="eastAsia"/>
                <w:bCs/>
                <w:kern w:val="24"/>
                <w:sz w:val="24"/>
              </w:rPr>
              <w:t>10.转炉煤气干法除尘装置配置</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新型OG法5台，出口颗粒物少于50mg/m</w:t>
            </w:r>
            <w:r>
              <w:rPr>
                <w:rFonts w:ascii="宋体" w:hAnsi="宋体" w:cs="宋体" w:hint="eastAsia"/>
                <w:bCs/>
                <w:kern w:val="24"/>
                <w:sz w:val="24"/>
                <w:vertAlign w:val="superscript"/>
              </w:rPr>
              <w:t>3</w:t>
            </w:r>
            <w:r>
              <w:rPr>
                <w:rFonts w:ascii="宋体" w:hAnsi="宋体" w:cs="宋体" w:hint="eastAsia"/>
                <w:bCs/>
                <w:kern w:val="24"/>
                <w:sz w:val="24"/>
              </w:rPr>
              <w:t>，满足</w:t>
            </w:r>
            <w:r>
              <w:rPr>
                <w:rFonts w:ascii="宋体" w:hAnsi="宋体" w:cs="宋体" w:hint="eastAsia"/>
                <w:color w:val="000000"/>
                <w:sz w:val="24"/>
              </w:rPr>
              <w:t>Ⅲ级基准值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11.蓄热燃烧技术</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炼铁热风炉采用，炼钢烘烤采用，线棒加热炉均采用，厚板车底炉及2、3、4号加热炉均采用，满足I级基准值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12.全厂区污水集中处理设施</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设有全厂区集中污水处理系统，总回用水量≥80% ，</w:t>
            </w:r>
            <w:r>
              <w:rPr>
                <w:rFonts w:ascii="宋体" w:hAnsi="宋体" w:cs="宋体" w:hint="eastAsia"/>
                <w:bCs/>
                <w:kern w:val="24"/>
                <w:sz w:val="24"/>
              </w:rPr>
              <w:t>满足</w:t>
            </w:r>
            <w:r>
              <w:rPr>
                <w:rFonts w:ascii="宋体" w:hAnsi="宋体" w:cs="宋体" w:hint="eastAsia"/>
                <w:color w:val="000000"/>
                <w:sz w:val="24"/>
              </w:rPr>
              <w:t>Ⅲ级基准值</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三、资源能源利用指标</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1.炼焦工序能耗，kgce/t焦</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118，满足</w:t>
            </w:r>
            <w:r>
              <w:rPr>
                <w:rFonts w:ascii="宋体" w:hAnsi="宋体" w:cs="宋体" w:hint="eastAsia"/>
                <w:color w:val="000000"/>
                <w:sz w:val="24"/>
              </w:rPr>
              <w:t>Ⅱ级基准值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2.烧结工序能耗，kgce/t矿</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51.7，满足</w:t>
            </w:r>
            <w:r>
              <w:rPr>
                <w:rFonts w:ascii="宋体" w:hAnsi="宋体" w:cs="宋体" w:hint="eastAsia"/>
                <w:color w:val="000000"/>
                <w:sz w:val="24"/>
              </w:rPr>
              <w:t>Ⅱ级基准值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3.球团工序能耗，kgce/t矿</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31.4，满足</w:t>
            </w:r>
            <w:r>
              <w:rPr>
                <w:rFonts w:ascii="宋体" w:hAnsi="宋体" w:cs="宋体" w:hint="eastAsia"/>
                <w:color w:val="000000"/>
                <w:sz w:val="24"/>
              </w:rPr>
              <w:t>Ⅲ级基准值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4.炼铁工序能耗，kgce/t铁*</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403.4，满足</w:t>
            </w:r>
            <w:r>
              <w:rPr>
                <w:rFonts w:ascii="宋体" w:hAnsi="宋体" w:cs="宋体" w:hint="eastAsia"/>
                <w:color w:val="000000"/>
                <w:sz w:val="24"/>
              </w:rPr>
              <w:t>Ⅱ级基准值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5.高炉燃料比，kg/t铁</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523，满足</w:t>
            </w:r>
            <w:r>
              <w:rPr>
                <w:rFonts w:ascii="宋体" w:hAnsi="宋体" w:cs="宋体" w:hint="eastAsia"/>
                <w:color w:val="000000"/>
                <w:sz w:val="24"/>
              </w:rPr>
              <w:t>Ⅲ级基准值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6.热风炉风温，℃</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1176，不满足基准值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7.转炉炼钢工序能耗，kgce/t钢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-18.7，满足</w:t>
            </w:r>
            <w:r>
              <w:rPr>
                <w:rFonts w:ascii="宋体" w:hAnsi="宋体" w:cs="宋体" w:hint="eastAsia"/>
                <w:color w:val="000000"/>
                <w:sz w:val="24"/>
              </w:rPr>
              <w:t>Ⅱ级基准值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8.转炉炼钢钢铁料消耗，kg/t</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1025，满足</w:t>
            </w:r>
            <w:r>
              <w:rPr>
                <w:rFonts w:ascii="宋体" w:hAnsi="宋体" w:cs="宋体" w:hint="eastAsia"/>
                <w:color w:val="000000"/>
                <w:sz w:val="24"/>
              </w:rPr>
              <w:t>Ⅰ级基准值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9.生产用新鲜水量，m</w:t>
            </w:r>
            <w:r>
              <w:rPr>
                <w:rFonts w:ascii="宋体" w:hAnsi="宋体" w:cs="宋体" w:hint="eastAsia"/>
                <w:bCs/>
                <w:kern w:val="24"/>
                <w:sz w:val="24"/>
                <w:vertAlign w:val="superscript"/>
              </w:rPr>
              <w:t>3</w:t>
            </w:r>
            <w:r>
              <w:rPr>
                <w:rFonts w:ascii="宋体" w:hAnsi="宋体" w:cs="宋体" w:hint="eastAsia"/>
                <w:bCs/>
                <w:kern w:val="24"/>
                <w:sz w:val="24"/>
              </w:rPr>
              <w:t>水/t钢*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3.8，满足</w:t>
            </w:r>
            <w:r>
              <w:rPr>
                <w:rFonts w:ascii="宋体" w:hAnsi="宋体" w:cs="宋体" w:hint="eastAsia"/>
                <w:color w:val="000000"/>
                <w:sz w:val="24"/>
              </w:rPr>
              <w:t>Ⅱ级基准值</w:t>
            </w:r>
          </w:p>
        </w:tc>
      </w:tr>
      <w:tr w:rsidR="0062660B">
        <w:trPr>
          <w:cantSplit/>
          <w:trHeight w:val="567"/>
          <w:jc w:val="center"/>
        </w:trPr>
        <w:tc>
          <w:tcPr>
            <w:tcW w:w="4334" w:type="dxa"/>
            <w:vAlign w:val="center"/>
          </w:tcPr>
          <w:p w:rsidR="0062660B" w:rsidRDefault="005F1973">
            <w:pPr>
              <w:snapToGrid w:val="0"/>
              <w:ind w:left="360" w:hangingChars="150" w:hanging="360"/>
              <w:jc w:val="left"/>
              <w:rPr>
                <w:rFonts w:ascii="宋体" w:hAnsi="宋体" w:cs="宋体"/>
                <w:kern w:val="24"/>
                <w:sz w:val="24"/>
              </w:rPr>
            </w:pPr>
            <w:r>
              <w:rPr>
                <w:rFonts w:ascii="宋体" w:hAnsi="宋体" w:cs="宋体" w:hint="eastAsia"/>
                <w:bCs/>
                <w:kern w:val="24"/>
                <w:sz w:val="24"/>
              </w:rPr>
              <w:t>10.二次能源发电量占总耗电量比率，%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64，满足</w:t>
            </w:r>
            <w:r>
              <w:rPr>
                <w:rFonts w:ascii="宋体" w:hAnsi="宋体" w:cs="宋体" w:hint="eastAsia"/>
                <w:color w:val="000000"/>
                <w:sz w:val="24"/>
              </w:rPr>
              <w:t>Ⅰ级基准值</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kern w:val="24"/>
                <w:sz w:val="24"/>
              </w:rPr>
            </w:pPr>
            <w:r>
              <w:rPr>
                <w:rFonts w:ascii="宋体" w:hAnsi="宋体" w:cs="宋体" w:hint="eastAsia"/>
                <w:kern w:val="24"/>
                <w:sz w:val="24"/>
              </w:rPr>
              <w:t>四、产品特征指标</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1.钢材综合成材率(热轧加工/热轧及冷轧加工/热轧、冷轧及镀涂加工)，%</w:t>
            </w:r>
          </w:p>
        </w:tc>
        <w:tc>
          <w:tcPr>
            <w:tcW w:w="4347" w:type="dxa"/>
            <w:vAlign w:val="center"/>
          </w:tcPr>
          <w:p w:rsidR="0062660B" w:rsidRDefault="005F1973">
            <w:pPr>
              <w:snapToGrid w:val="0"/>
              <w:jc w:val="left"/>
              <w:rPr>
                <w:rFonts w:ascii="宋体" w:hAnsi="宋体" w:cs="宋体"/>
                <w:bCs/>
                <w:kern w:val="24"/>
                <w:sz w:val="24"/>
                <w:highlight w:val="yellow"/>
              </w:rPr>
            </w:pPr>
            <w:r>
              <w:rPr>
                <w:rFonts w:ascii="宋体" w:hAnsi="宋体" w:cs="宋体" w:hint="eastAsia"/>
                <w:bCs/>
                <w:kern w:val="24"/>
                <w:sz w:val="24"/>
                <w:lang w:bidi="ar"/>
              </w:rPr>
              <w:t>热轧加工</w:t>
            </w:r>
            <w:r>
              <w:rPr>
                <w:rFonts w:ascii="宋体" w:hAnsi="宋体" w:cs="Arial" w:hint="eastAsia"/>
                <w:bCs/>
                <w:kern w:val="24"/>
                <w:sz w:val="24"/>
                <w:lang w:bidi="ar"/>
              </w:rPr>
              <w:t>/</w:t>
            </w:r>
            <w:r>
              <w:rPr>
                <w:rFonts w:ascii="宋体" w:hAnsi="宋体" w:cs="宋体" w:hint="eastAsia"/>
                <w:bCs/>
                <w:kern w:val="24"/>
                <w:sz w:val="24"/>
                <w:lang w:bidi="ar"/>
              </w:rPr>
              <w:t>热轧：98.175；冷轧加工</w:t>
            </w:r>
            <w:r>
              <w:rPr>
                <w:rFonts w:ascii="宋体" w:hAnsi="宋体" w:cs="Arial" w:hint="eastAsia"/>
                <w:bCs/>
                <w:kern w:val="24"/>
                <w:sz w:val="24"/>
                <w:lang w:bidi="ar"/>
              </w:rPr>
              <w:t>/</w:t>
            </w:r>
            <w:r>
              <w:rPr>
                <w:rFonts w:ascii="宋体" w:hAnsi="宋体" w:cs="宋体" w:hint="eastAsia"/>
                <w:bCs/>
                <w:kern w:val="24"/>
                <w:sz w:val="24"/>
                <w:lang w:bidi="ar"/>
              </w:rPr>
              <w:t>热轧：94.88；无</w:t>
            </w:r>
            <w:r>
              <w:rPr>
                <w:rFonts w:ascii="宋体" w:hAnsi="宋体" w:cs="宋体" w:hint="eastAsia"/>
                <w:bCs/>
                <w:kern w:val="24"/>
                <w:sz w:val="24"/>
              </w:rPr>
              <w:t>冷轧及镀涂加工</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2.钢材质量合格率，%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lang w:bidi="ar"/>
              </w:rPr>
              <w:t>99.44，</w:t>
            </w:r>
            <w:r>
              <w:rPr>
                <w:rFonts w:ascii="宋体" w:hAnsi="宋体" w:cs="宋体" w:hint="eastAsia"/>
                <w:bCs/>
                <w:kern w:val="24"/>
                <w:sz w:val="24"/>
              </w:rPr>
              <w:t>满足</w:t>
            </w:r>
            <w:r>
              <w:rPr>
                <w:rFonts w:ascii="宋体" w:hAnsi="宋体" w:cs="宋体" w:hint="eastAsia"/>
                <w:color w:val="000000"/>
                <w:sz w:val="24"/>
              </w:rPr>
              <w:t>Ⅲ级基准值</w:t>
            </w:r>
          </w:p>
        </w:tc>
      </w:tr>
      <w:tr w:rsidR="0062660B">
        <w:trPr>
          <w:cantSplit/>
          <w:trHeight w:val="567"/>
          <w:jc w:val="center"/>
        </w:trPr>
        <w:tc>
          <w:tcPr>
            <w:tcW w:w="4334" w:type="dxa"/>
            <w:vAlign w:val="center"/>
          </w:tcPr>
          <w:p w:rsidR="0062660B" w:rsidRDefault="005F1973">
            <w:pPr>
              <w:snapToGrid w:val="0"/>
              <w:ind w:left="480" w:hangingChars="200" w:hanging="480"/>
              <w:jc w:val="left"/>
              <w:rPr>
                <w:rFonts w:ascii="宋体" w:hAnsi="宋体" w:cs="宋体"/>
                <w:bCs/>
                <w:kern w:val="24"/>
                <w:sz w:val="24"/>
              </w:rPr>
            </w:pPr>
            <w:r>
              <w:rPr>
                <w:rFonts w:ascii="宋体" w:hAnsi="宋体" w:cs="宋体" w:hint="eastAsia"/>
                <w:bCs/>
                <w:kern w:val="24"/>
                <w:sz w:val="24"/>
              </w:rPr>
              <w:t>3.钢材质量优等品率，%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lang w:bidi="ar"/>
              </w:rPr>
              <w:t>99.44，满足</w:t>
            </w:r>
            <w:r>
              <w:rPr>
                <w:rFonts w:ascii="宋体" w:hAnsi="宋体" w:cs="宋体" w:hint="eastAsia"/>
                <w:color w:val="000000"/>
                <w:sz w:val="24"/>
              </w:rPr>
              <w:t>Ⅰ级基准值</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五、污染物排放控制指标</w:t>
            </w:r>
          </w:p>
        </w:tc>
      </w:tr>
      <w:tr w:rsidR="0062660B">
        <w:trPr>
          <w:cantSplit/>
          <w:trHeight w:val="567"/>
          <w:jc w:val="center"/>
        </w:trPr>
        <w:tc>
          <w:tcPr>
            <w:tcW w:w="4334" w:type="dxa"/>
            <w:tcMar>
              <w:left w:w="57" w:type="dxa"/>
              <w:right w:w="57" w:type="dxa"/>
            </w:tcMar>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1.</w:t>
            </w:r>
            <w:r>
              <w:rPr>
                <w:rFonts w:ascii="宋体" w:hAnsi="宋体" w:cs="宋体" w:hint="eastAsia"/>
                <w:kern w:val="24"/>
                <w:sz w:val="24"/>
              </w:rPr>
              <w:t>废水</w:t>
            </w:r>
            <w:r>
              <w:rPr>
                <w:rFonts w:ascii="宋体" w:hAnsi="宋体" w:cs="宋体" w:hint="eastAsia"/>
                <w:bCs/>
                <w:kern w:val="24"/>
                <w:sz w:val="24"/>
              </w:rPr>
              <w:t>排放量</w:t>
            </w:r>
            <w:r>
              <w:rPr>
                <w:rFonts w:ascii="宋体" w:hAnsi="宋体" w:cs="宋体" w:hint="eastAsia"/>
                <w:kern w:val="24"/>
                <w:sz w:val="24"/>
              </w:rPr>
              <w:t>，</w:t>
            </w:r>
            <w:r>
              <w:rPr>
                <w:rFonts w:ascii="宋体" w:hAnsi="宋体" w:cs="宋体" w:hint="eastAsia"/>
                <w:bCs/>
                <w:kern w:val="24"/>
                <w:sz w:val="24"/>
              </w:rPr>
              <w:t>m</w:t>
            </w:r>
            <w:r>
              <w:rPr>
                <w:rFonts w:ascii="宋体" w:hAnsi="宋体" w:cs="宋体" w:hint="eastAsia"/>
                <w:bCs/>
                <w:kern w:val="24"/>
                <w:sz w:val="24"/>
                <w:vertAlign w:val="superscript"/>
              </w:rPr>
              <w:t>3</w:t>
            </w:r>
            <w:r>
              <w:rPr>
                <w:rFonts w:ascii="宋体" w:hAnsi="宋体" w:cs="宋体" w:hint="eastAsia"/>
                <w:kern w:val="24"/>
                <w:sz w:val="24"/>
              </w:rPr>
              <w:t>/t钢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1.118，满足I级基准值</w:t>
            </w:r>
          </w:p>
        </w:tc>
      </w:tr>
      <w:tr w:rsidR="0062660B">
        <w:trPr>
          <w:cantSplit/>
          <w:trHeight w:val="567"/>
          <w:jc w:val="center"/>
        </w:trPr>
        <w:tc>
          <w:tcPr>
            <w:tcW w:w="4334" w:type="dxa"/>
            <w:tcMar>
              <w:left w:w="57" w:type="dxa"/>
              <w:right w:w="57" w:type="dxa"/>
            </w:tcMar>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2.COD</w:t>
            </w:r>
            <w:r>
              <w:rPr>
                <w:rFonts w:ascii="宋体" w:hAnsi="宋体" w:cs="宋体" w:hint="eastAsia"/>
                <w:kern w:val="24"/>
                <w:sz w:val="24"/>
              </w:rPr>
              <w:t>排放量</w:t>
            </w:r>
            <w:r>
              <w:rPr>
                <w:rFonts w:ascii="宋体" w:hAnsi="宋体" w:cs="宋体" w:hint="eastAsia"/>
                <w:bCs/>
                <w:kern w:val="24"/>
                <w:sz w:val="24"/>
              </w:rPr>
              <w:t>，kg/t钢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0.02，满足I级基准值</w:t>
            </w:r>
          </w:p>
        </w:tc>
      </w:tr>
      <w:tr w:rsidR="0062660B">
        <w:trPr>
          <w:cantSplit/>
          <w:trHeight w:val="567"/>
          <w:jc w:val="center"/>
        </w:trPr>
        <w:tc>
          <w:tcPr>
            <w:tcW w:w="4334" w:type="dxa"/>
            <w:tcMar>
              <w:left w:w="57" w:type="dxa"/>
              <w:right w:w="57" w:type="dxa"/>
            </w:tcMar>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3.氨氮排放量，kg/t钢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0.004，满足I级基准值</w:t>
            </w:r>
          </w:p>
        </w:tc>
      </w:tr>
      <w:tr w:rsidR="0062660B">
        <w:trPr>
          <w:cantSplit/>
          <w:trHeight w:val="567"/>
          <w:jc w:val="center"/>
        </w:trPr>
        <w:tc>
          <w:tcPr>
            <w:tcW w:w="4334" w:type="dxa"/>
            <w:tcMar>
              <w:left w:w="57" w:type="dxa"/>
              <w:right w:w="57" w:type="dxa"/>
            </w:tcMar>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4.颗粒物排放量，kg/t钢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0.47，满足I级基准值</w:t>
            </w:r>
          </w:p>
        </w:tc>
      </w:tr>
      <w:tr w:rsidR="0062660B">
        <w:trPr>
          <w:cantSplit/>
          <w:trHeight w:val="567"/>
          <w:jc w:val="center"/>
        </w:trPr>
        <w:tc>
          <w:tcPr>
            <w:tcW w:w="4334" w:type="dxa"/>
            <w:tcMar>
              <w:left w:w="57" w:type="dxa"/>
              <w:right w:w="57" w:type="dxa"/>
            </w:tcMar>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5.SO</w:t>
            </w:r>
            <w:r>
              <w:rPr>
                <w:rFonts w:ascii="宋体" w:hAnsi="宋体" w:cs="宋体" w:hint="eastAsia"/>
                <w:bCs/>
                <w:kern w:val="24"/>
                <w:sz w:val="24"/>
                <w:vertAlign w:val="subscript"/>
              </w:rPr>
              <w:t>2</w:t>
            </w:r>
            <w:r>
              <w:rPr>
                <w:rFonts w:ascii="宋体" w:hAnsi="宋体" w:cs="宋体" w:hint="eastAsia"/>
                <w:bCs/>
                <w:kern w:val="24"/>
                <w:sz w:val="24"/>
              </w:rPr>
              <w:t>排放量，kg/t钢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0.39，满足I级基准值</w:t>
            </w:r>
          </w:p>
        </w:tc>
      </w:tr>
      <w:tr w:rsidR="0062660B">
        <w:trPr>
          <w:cantSplit/>
          <w:trHeight w:val="567"/>
          <w:jc w:val="center"/>
        </w:trPr>
        <w:tc>
          <w:tcPr>
            <w:tcW w:w="4334" w:type="dxa"/>
            <w:tcMar>
              <w:left w:w="57" w:type="dxa"/>
              <w:right w:w="57" w:type="dxa"/>
            </w:tcMar>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6.NOx(以NO</w:t>
            </w:r>
            <w:r>
              <w:rPr>
                <w:rFonts w:ascii="宋体" w:hAnsi="宋体" w:cs="宋体" w:hint="eastAsia"/>
                <w:bCs/>
                <w:kern w:val="24"/>
                <w:sz w:val="24"/>
                <w:vertAlign w:val="subscript"/>
              </w:rPr>
              <w:t>2</w:t>
            </w:r>
            <w:r>
              <w:rPr>
                <w:rFonts w:ascii="宋体" w:hAnsi="宋体" w:cs="宋体" w:hint="eastAsia"/>
                <w:bCs/>
                <w:kern w:val="24"/>
                <w:sz w:val="24"/>
              </w:rPr>
              <w:t>计)排放量，kg/t钢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0.91，满足</w:t>
            </w:r>
            <w:r>
              <w:rPr>
                <w:rFonts w:ascii="宋体" w:hAnsi="宋体" w:cs="宋体" w:hint="eastAsia"/>
                <w:color w:val="000000"/>
                <w:sz w:val="24"/>
              </w:rPr>
              <w:t>Ⅱ</w:t>
            </w:r>
            <w:r>
              <w:rPr>
                <w:rFonts w:ascii="宋体" w:hAnsi="宋体" w:cs="宋体" w:hint="eastAsia"/>
                <w:bCs/>
                <w:kern w:val="24"/>
                <w:sz w:val="24"/>
              </w:rPr>
              <w:t>级基准值</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kern w:val="24"/>
                <w:sz w:val="24"/>
              </w:rPr>
            </w:pPr>
            <w:r>
              <w:rPr>
                <w:rFonts w:ascii="宋体" w:hAnsi="宋体" w:cs="宋体" w:hint="eastAsia"/>
                <w:kern w:val="24"/>
                <w:sz w:val="24"/>
              </w:rPr>
              <w:t>六、资源综合利用指标</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1.生产水重复利用率，%</w:t>
            </w:r>
          </w:p>
        </w:tc>
        <w:tc>
          <w:tcPr>
            <w:tcW w:w="4347" w:type="dxa"/>
            <w:vAlign w:val="center"/>
          </w:tcPr>
          <w:p w:rsidR="0062660B" w:rsidRDefault="005F1973">
            <w:pPr>
              <w:jc w:val="left"/>
              <w:rPr>
                <w:rFonts w:ascii="宋体" w:hAnsi="宋体" w:cs="宋体"/>
                <w:bCs/>
                <w:kern w:val="24"/>
                <w:sz w:val="24"/>
              </w:rPr>
            </w:pPr>
            <w:r>
              <w:rPr>
                <w:rFonts w:ascii="宋体" w:hAnsi="宋体" w:cs="宋体" w:hint="eastAsia"/>
                <w:bCs/>
                <w:kern w:val="24"/>
                <w:sz w:val="24"/>
              </w:rPr>
              <w:t>97.3，满足</w:t>
            </w:r>
            <w:r>
              <w:rPr>
                <w:rFonts w:ascii="宋体" w:hAnsi="宋体" w:cs="宋体" w:hint="eastAsia"/>
                <w:color w:val="000000"/>
                <w:sz w:val="24"/>
              </w:rPr>
              <w:t>Ⅰ级基准值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2.高炉煤气利用率，%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99.3，满足</w:t>
            </w:r>
            <w:r>
              <w:rPr>
                <w:rFonts w:ascii="宋体" w:hAnsi="宋体" w:cs="宋体" w:hint="eastAsia"/>
                <w:color w:val="000000"/>
                <w:sz w:val="24"/>
              </w:rPr>
              <w:t>Ⅰ级基准值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3.焦炉煤气利用率，%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87.9，不满足基准值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4.转炉煤气回收热量，kgce/t钢</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20，满足</w:t>
            </w:r>
            <w:r>
              <w:rPr>
                <w:rFonts w:ascii="宋体" w:hAnsi="宋体" w:cs="宋体" w:hint="eastAsia"/>
                <w:color w:val="000000"/>
                <w:sz w:val="24"/>
              </w:rPr>
              <w:t>Ⅲ级基准值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5.含铁尘(泥)回收利用率，%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6.高炉渣利用率，%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7.转炉渣利用率，%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8.铁水预处理、精炼装置、钢包等渣铁利用率，%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9.脱硫副产物利用率，%</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100%，满足I级基准值</w:t>
            </w:r>
          </w:p>
        </w:tc>
      </w:tr>
      <w:tr w:rsidR="0062660B">
        <w:trPr>
          <w:cantSplit/>
          <w:trHeight w:val="567"/>
          <w:jc w:val="center"/>
        </w:trPr>
        <w:tc>
          <w:tcPr>
            <w:tcW w:w="4334" w:type="dxa"/>
            <w:vAlign w:val="center"/>
          </w:tcPr>
          <w:p w:rsidR="0062660B" w:rsidRDefault="005F1973">
            <w:pPr>
              <w:snapToGrid w:val="0"/>
              <w:ind w:left="420" w:hanging="420"/>
              <w:jc w:val="left"/>
              <w:rPr>
                <w:rFonts w:ascii="宋体" w:hAnsi="宋体" w:cs="宋体"/>
                <w:bCs/>
                <w:kern w:val="24"/>
                <w:sz w:val="24"/>
              </w:rPr>
            </w:pPr>
            <w:r>
              <w:rPr>
                <w:rFonts w:ascii="宋体" w:hAnsi="宋体" w:cs="宋体" w:hint="eastAsia"/>
                <w:bCs/>
                <w:kern w:val="24"/>
                <w:sz w:val="24"/>
              </w:rPr>
              <w:t>10.消纳城市污水</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bCs/>
                <w:kern w:val="24"/>
                <w:sz w:val="24"/>
              </w:rPr>
              <w:t>0</w:t>
            </w:r>
          </w:p>
        </w:tc>
      </w:tr>
      <w:tr w:rsidR="0062660B">
        <w:trPr>
          <w:cantSplit/>
          <w:trHeight w:val="567"/>
          <w:jc w:val="center"/>
        </w:trPr>
        <w:tc>
          <w:tcPr>
            <w:tcW w:w="8681" w:type="dxa"/>
            <w:gridSpan w:val="2"/>
            <w:vAlign w:val="center"/>
          </w:tcPr>
          <w:p w:rsidR="0062660B" w:rsidRDefault="005F1973">
            <w:pPr>
              <w:snapToGrid w:val="0"/>
              <w:jc w:val="left"/>
              <w:rPr>
                <w:rFonts w:ascii="宋体" w:hAnsi="宋体" w:cs="宋体"/>
                <w:kern w:val="24"/>
                <w:sz w:val="24"/>
              </w:rPr>
            </w:pPr>
            <w:r>
              <w:rPr>
                <w:rFonts w:ascii="宋体" w:hAnsi="宋体" w:cs="宋体" w:hint="eastAsia"/>
                <w:kern w:val="24"/>
                <w:sz w:val="24"/>
              </w:rPr>
              <w:t>七、清洁生产管理指标</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1.产业政策符合性*</w:t>
            </w:r>
          </w:p>
        </w:tc>
        <w:tc>
          <w:tcPr>
            <w:tcW w:w="4347" w:type="dxa"/>
            <w:vAlign w:val="center"/>
          </w:tcPr>
          <w:p w:rsidR="0062660B" w:rsidRDefault="005F1973">
            <w:pPr>
              <w:jc w:val="left"/>
              <w:rPr>
                <w:rFonts w:ascii="宋体" w:hAnsi="宋体" w:cs="宋体"/>
                <w:bCs/>
                <w:kern w:val="24"/>
                <w:sz w:val="24"/>
              </w:rPr>
            </w:pPr>
            <w:r>
              <w:rPr>
                <w:rFonts w:ascii="宋体" w:hAnsi="宋体" w:cs="宋体" w:hint="eastAsia"/>
                <w:kern w:val="24"/>
                <w:sz w:val="24"/>
              </w:rPr>
              <w:t>新钢未采用国家明令禁止和淘汰的生产工艺、 装备，未生产国家明令禁止的产品。 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2.达标排放*</w:t>
            </w:r>
          </w:p>
        </w:tc>
        <w:tc>
          <w:tcPr>
            <w:tcW w:w="4347" w:type="dxa"/>
            <w:vAlign w:val="center"/>
          </w:tcPr>
          <w:p w:rsidR="0062660B" w:rsidRDefault="005F1973">
            <w:pPr>
              <w:snapToGrid w:val="0"/>
              <w:jc w:val="left"/>
              <w:rPr>
                <w:rFonts w:ascii="宋体" w:hAnsi="宋体" w:cs="宋体"/>
                <w:kern w:val="24"/>
                <w:sz w:val="24"/>
              </w:rPr>
            </w:pPr>
            <w:r>
              <w:rPr>
                <w:rFonts w:ascii="宋体" w:hAnsi="宋体" w:cs="宋体" w:hint="eastAsia"/>
                <w:kern w:val="24"/>
                <w:sz w:val="24"/>
              </w:rPr>
              <w:t xml:space="preserve">新钢污染物排放浓度满足国家及地方政 </w:t>
            </w:r>
          </w:p>
          <w:p w:rsidR="0062660B" w:rsidRDefault="005F1973">
            <w:pPr>
              <w:snapToGrid w:val="0"/>
              <w:jc w:val="left"/>
              <w:rPr>
                <w:rFonts w:ascii="宋体" w:hAnsi="宋体" w:cs="宋体"/>
                <w:bCs/>
                <w:kern w:val="24"/>
                <w:sz w:val="24"/>
              </w:rPr>
            </w:pPr>
            <w:r>
              <w:rPr>
                <w:rFonts w:ascii="宋体" w:hAnsi="宋体" w:cs="宋体" w:hint="eastAsia"/>
                <w:kern w:val="24"/>
                <w:sz w:val="24"/>
              </w:rPr>
              <w:t xml:space="preserve">府相关规定要求。满足I级基准值 </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3.总量控制*</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bCs/>
                <w:kern w:val="24"/>
                <w:sz w:val="24"/>
              </w:rPr>
              <w:t>新钢集团子公司新余钢铁股份有限公司于2018年8月取得由新余市生态环境局颁发的污染物排污许可证，2023年12月变更了最新版的排污许可证（证书编号：913605001583084437001P），其余子公司如江西新钢环保科技有限公司（证书编号：91360502MA39TJGB2U001P）</w:t>
            </w:r>
          </w:p>
          <w:p w:rsidR="0062660B" w:rsidRDefault="005F1973">
            <w:pPr>
              <w:widowControl/>
              <w:jc w:val="left"/>
              <w:rPr>
                <w:rFonts w:ascii="宋体" w:hAnsi="宋体" w:cs="宋体"/>
                <w:bCs/>
                <w:kern w:val="24"/>
                <w:sz w:val="24"/>
              </w:rPr>
            </w:pPr>
            <w:r>
              <w:rPr>
                <w:rFonts w:ascii="宋体" w:hAnsi="宋体" w:cs="宋体" w:hint="eastAsia"/>
                <w:bCs/>
                <w:kern w:val="24"/>
                <w:sz w:val="24"/>
              </w:rPr>
              <w:t>、新余齐奥矿品有限公司（证书编号：91360500794782779E001P）、新余新钢板材加工有限公司（证书编号：91360500799453245R001P）、新余新钢气体有限责任公司（证书编号：91360500767027313Y001X）和新余钢铁集团有限公司中心医院（证明编号：913605001598600539001V）等均取得污染物排污许可证或进行排污登记。新钢集团始终依法持证排污，各子公司污染物排放总量均符合生态环境局颁发许可证总量控制要求。</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4.环境污染事故预防*</w:t>
            </w:r>
          </w:p>
        </w:tc>
        <w:tc>
          <w:tcPr>
            <w:tcW w:w="4347" w:type="dxa"/>
            <w:vAlign w:val="center"/>
          </w:tcPr>
          <w:p w:rsidR="0062660B" w:rsidRDefault="005F1973">
            <w:pPr>
              <w:widowControl/>
              <w:jc w:val="left"/>
              <w:rPr>
                <w:rFonts w:ascii="宋体" w:hAnsi="宋体" w:cs="宋体"/>
                <w:bCs/>
                <w:kern w:val="24"/>
                <w:sz w:val="24"/>
              </w:rPr>
            </w:pPr>
            <w:r>
              <w:rPr>
                <w:rFonts w:ascii="宋体" w:hAnsi="宋体" w:cs="宋体" w:hint="eastAsia"/>
                <w:color w:val="000000"/>
                <w:kern w:val="0"/>
                <w:sz w:val="24"/>
                <w:lang w:bidi="ar"/>
              </w:rPr>
              <w:t>新钢按照国家相关规定要求，建立健全环境管理制度及污染事故防范措施，杜绝重大环境污染事故发生。</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5.建立健全环境管理体系</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color w:val="000000"/>
                <w:kern w:val="0"/>
                <w:sz w:val="24"/>
                <w:lang w:bidi="ar"/>
              </w:rPr>
              <w:t>新钢建立有GB/T24001环境管理体系，并取得认证，能有效运行；全部完成年度环境目标、指标和环境管理方案，并达到环境持续改进的要求；环境管理手册、程序文件及作业文件齐备、有效。满足I级基准值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6.危险废物安全处置</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color w:val="000000"/>
                <w:kern w:val="0"/>
                <w:sz w:val="24"/>
                <w:lang w:bidi="ar"/>
              </w:rPr>
              <w:t>新钢建有相关管理制度，台账记录，转移联单齐全。无害化处理后综合利用率≥80%。满足I级基准值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7.清洁生产组织机构及管理制度</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kern w:val="24"/>
                <w:sz w:val="24"/>
              </w:rPr>
              <w:t>新钢建有专门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80%。满足I级基准值</w:t>
            </w:r>
          </w:p>
        </w:tc>
      </w:tr>
      <w:tr w:rsidR="0062660B">
        <w:trPr>
          <w:cantSplit/>
          <w:trHeight w:val="567"/>
          <w:jc w:val="center"/>
        </w:trPr>
        <w:tc>
          <w:tcPr>
            <w:tcW w:w="4334" w:type="dxa"/>
            <w:vAlign w:val="center"/>
          </w:tcPr>
          <w:p w:rsidR="0062660B" w:rsidRDefault="005F1973">
            <w:pPr>
              <w:snapToGrid w:val="0"/>
              <w:rPr>
                <w:rFonts w:ascii="宋体" w:hAnsi="宋体" w:cs="宋体"/>
                <w:kern w:val="24"/>
                <w:sz w:val="24"/>
              </w:rPr>
            </w:pPr>
            <w:r>
              <w:rPr>
                <w:rFonts w:ascii="宋体" w:hAnsi="宋体" w:cs="宋体" w:hint="eastAsia"/>
                <w:kern w:val="24"/>
                <w:sz w:val="24"/>
              </w:rPr>
              <w:t>8.清洁生产审核活动</w:t>
            </w:r>
          </w:p>
        </w:tc>
        <w:tc>
          <w:tcPr>
            <w:tcW w:w="4347" w:type="dxa"/>
            <w:vAlign w:val="center"/>
          </w:tcPr>
          <w:p w:rsidR="0062660B" w:rsidRDefault="005F1973">
            <w:pPr>
              <w:snapToGrid w:val="0"/>
              <w:jc w:val="left"/>
              <w:rPr>
                <w:rFonts w:ascii="宋体" w:hAnsi="宋体" w:cs="宋体"/>
                <w:kern w:val="24"/>
                <w:sz w:val="24"/>
              </w:rPr>
            </w:pPr>
            <w:r>
              <w:rPr>
                <w:rFonts w:ascii="宋体" w:hAnsi="宋体" w:cs="宋体" w:hint="eastAsia"/>
                <w:kern w:val="24"/>
                <w:sz w:val="24"/>
              </w:rPr>
              <w:t>新钢制订有清洁生产审核工作计划，对钢铁生产流程中部分生产工序定期开展清洁生产审核活动，中、高费方案实施率≥50%，节能、降耗、减污取得明显成效。满足Ⅲ级基准值</w:t>
            </w:r>
          </w:p>
        </w:tc>
      </w:tr>
      <w:tr w:rsidR="0062660B">
        <w:trPr>
          <w:cantSplit/>
          <w:trHeight w:val="567"/>
          <w:jc w:val="center"/>
        </w:trPr>
        <w:tc>
          <w:tcPr>
            <w:tcW w:w="4334" w:type="dxa"/>
            <w:vAlign w:val="center"/>
          </w:tcPr>
          <w:p w:rsidR="0062660B" w:rsidRDefault="005F1973">
            <w:pPr>
              <w:snapToGrid w:val="0"/>
              <w:ind w:left="240" w:hangingChars="100" w:hanging="240"/>
              <w:jc w:val="left"/>
              <w:rPr>
                <w:rFonts w:ascii="宋体" w:hAnsi="宋体" w:cs="宋体"/>
                <w:bCs/>
                <w:kern w:val="24"/>
                <w:sz w:val="24"/>
              </w:rPr>
            </w:pPr>
            <w:r>
              <w:rPr>
                <w:rFonts w:ascii="宋体" w:hAnsi="宋体" w:cs="宋体" w:hint="eastAsia"/>
                <w:bCs/>
                <w:kern w:val="24"/>
                <w:sz w:val="24"/>
              </w:rPr>
              <w:t>9.能源管理机构、管理制度、能源管控中心</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kern w:val="24"/>
                <w:sz w:val="24"/>
              </w:rPr>
              <w:t>新钢有健全的能源管理机构、管理制度，各二级单位及主管人员职责分工明确，并有效发挥作用；2023年获取了能源管理体系认证并有效运行；建立有能源管控运行中心，制定有企业用能和节能发展规划，年度管控目标完成率≥90%。满足I级基准值</w:t>
            </w:r>
          </w:p>
        </w:tc>
      </w:tr>
      <w:tr w:rsidR="0062660B">
        <w:trPr>
          <w:cantSplit/>
          <w:trHeight w:val="567"/>
          <w:jc w:val="center"/>
        </w:trPr>
        <w:tc>
          <w:tcPr>
            <w:tcW w:w="4334" w:type="dxa"/>
            <w:vAlign w:val="center"/>
          </w:tcPr>
          <w:p w:rsidR="0062660B" w:rsidRDefault="005F1973">
            <w:pPr>
              <w:snapToGrid w:val="0"/>
              <w:ind w:left="420" w:hanging="420"/>
              <w:jc w:val="left"/>
              <w:rPr>
                <w:rFonts w:ascii="宋体" w:hAnsi="宋体" w:cs="宋体"/>
                <w:bCs/>
                <w:kern w:val="24"/>
                <w:sz w:val="24"/>
              </w:rPr>
            </w:pPr>
            <w:r>
              <w:rPr>
                <w:rFonts w:ascii="宋体" w:hAnsi="宋体" w:cs="宋体" w:hint="eastAsia"/>
                <w:bCs/>
                <w:kern w:val="24"/>
                <w:sz w:val="24"/>
              </w:rPr>
              <w:t>10.开展节能活动</w:t>
            </w:r>
          </w:p>
        </w:tc>
        <w:tc>
          <w:tcPr>
            <w:tcW w:w="4347" w:type="dxa"/>
            <w:vAlign w:val="center"/>
          </w:tcPr>
          <w:p w:rsidR="0062660B" w:rsidRDefault="005F1973">
            <w:pPr>
              <w:snapToGrid w:val="0"/>
              <w:jc w:val="left"/>
              <w:rPr>
                <w:rFonts w:ascii="宋体" w:hAnsi="宋体" w:cs="宋体"/>
                <w:bCs/>
                <w:kern w:val="24"/>
                <w:sz w:val="24"/>
              </w:rPr>
            </w:pPr>
            <w:r>
              <w:rPr>
                <w:rFonts w:ascii="宋体" w:hAnsi="宋体" w:cs="宋体" w:hint="eastAsia"/>
                <w:kern w:val="24"/>
                <w:sz w:val="24"/>
              </w:rPr>
              <w:t>按国家规定要求，新钢组织开展能源诊断、水平衡测试、水系统专项诊断、淘汰落后机电与能源计量普查工作，并积极参与推进“双碳最佳实践能效标杆示范”工作，制定了《新钢集团能效标杆创建行动方案&gt;，从结构节能、管理节能、技术节能三个方面挖掘节能潜力，实施节能改造项目完成率为100%，年度节能任务达到国家要求。满足I级基准值</w:t>
            </w:r>
          </w:p>
        </w:tc>
      </w:tr>
    </w:tbl>
    <w:p w:rsidR="0062660B" w:rsidRDefault="005F1973">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62660B">
        <w:trPr>
          <w:trHeight w:val="851"/>
          <w:jc w:val="center"/>
        </w:trPr>
        <w:tc>
          <w:tcPr>
            <w:tcW w:w="2202" w:type="dxa"/>
            <w:gridSpan w:val="2"/>
            <w:vAlign w:val="center"/>
          </w:tcPr>
          <w:p w:rsidR="0062660B" w:rsidRDefault="005F1973">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62660B" w:rsidRDefault="005F1973">
            <w:pPr>
              <w:adjustRightInd w:val="0"/>
              <w:snapToGrid w:val="0"/>
              <w:jc w:val="center"/>
              <w:rPr>
                <w:rFonts w:ascii="宋体" w:cs="仿宋_GB2312"/>
                <w:bCs/>
                <w:sz w:val="24"/>
              </w:rPr>
            </w:pPr>
            <w:r>
              <w:rPr>
                <w:rFonts w:ascii="宋体" w:hAnsi="宋体" w:cs="仿宋_GB2312" w:hint="eastAsia"/>
                <w:bCs/>
                <w:sz w:val="24"/>
              </w:rPr>
              <w:t>实际排放量</w:t>
            </w:r>
          </w:p>
          <w:p w:rsidR="0062660B" w:rsidRDefault="005F1973">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62660B" w:rsidRDefault="005F1973">
            <w:pPr>
              <w:adjustRightInd w:val="0"/>
              <w:snapToGrid w:val="0"/>
              <w:jc w:val="center"/>
              <w:rPr>
                <w:rFonts w:ascii="宋体" w:cs="仿宋_GB2312"/>
                <w:bCs/>
                <w:sz w:val="24"/>
              </w:rPr>
            </w:pPr>
            <w:r>
              <w:rPr>
                <w:rFonts w:ascii="宋体" w:hAnsi="宋体" w:cs="仿宋_GB2312" w:hint="eastAsia"/>
                <w:bCs/>
                <w:sz w:val="24"/>
              </w:rPr>
              <w:t>排污许可量</w:t>
            </w:r>
          </w:p>
          <w:p w:rsidR="0062660B" w:rsidRDefault="005F1973">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62660B" w:rsidRDefault="005F1973">
            <w:pPr>
              <w:adjustRightInd w:val="0"/>
              <w:snapToGrid w:val="0"/>
              <w:jc w:val="center"/>
              <w:rPr>
                <w:rFonts w:ascii="宋体" w:cs="仿宋_GB2312"/>
                <w:bCs/>
                <w:sz w:val="24"/>
              </w:rPr>
            </w:pPr>
            <w:r>
              <w:rPr>
                <w:rFonts w:ascii="宋体" w:hAnsi="宋体" w:cs="仿宋_GB2312" w:hint="eastAsia"/>
                <w:bCs/>
                <w:sz w:val="24"/>
              </w:rPr>
              <w:t>环境税缴纳</w:t>
            </w:r>
          </w:p>
          <w:p w:rsidR="0062660B" w:rsidRDefault="005F1973">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62660B" w:rsidRDefault="005F1973">
            <w:pPr>
              <w:adjustRightInd w:val="0"/>
              <w:snapToGrid w:val="0"/>
              <w:jc w:val="center"/>
              <w:rPr>
                <w:rFonts w:ascii="宋体" w:cs="仿宋_GB2312"/>
                <w:bCs/>
                <w:sz w:val="24"/>
              </w:rPr>
            </w:pPr>
            <w:r>
              <w:rPr>
                <w:rFonts w:ascii="宋体" w:hAnsi="宋体" w:cs="仿宋_GB2312" w:hint="eastAsia"/>
                <w:bCs/>
                <w:sz w:val="24"/>
              </w:rPr>
              <w:t>备 注</w:t>
            </w:r>
          </w:p>
        </w:tc>
      </w:tr>
      <w:tr w:rsidR="0062660B">
        <w:trPr>
          <w:trHeight w:val="555"/>
          <w:jc w:val="center"/>
        </w:trPr>
        <w:tc>
          <w:tcPr>
            <w:tcW w:w="727" w:type="dxa"/>
            <w:vMerge w:val="restart"/>
            <w:vAlign w:val="center"/>
          </w:tcPr>
          <w:p w:rsidR="0062660B" w:rsidRDefault="005F1973">
            <w:pPr>
              <w:jc w:val="center"/>
              <w:rPr>
                <w:rFonts w:ascii="宋体" w:hAnsi="宋体" w:cs="仿宋_GB2312"/>
                <w:bCs/>
                <w:sz w:val="24"/>
              </w:rPr>
            </w:pPr>
            <w:r>
              <w:rPr>
                <w:rFonts w:ascii="宋体" w:hAnsi="宋体" w:cs="仿宋_GB2312" w:hint="eastAsia"/>
                <w:bCs/>
                <w:sz w:val="24"/>
              </w:rPr>
              <w:t>废气污染物</w:t>
            </w:r>
          </w:p>
        </w:tc>
        <w:tc>
          <w:tcPr>
            <w:tcW w:w="1475" w:type="dxa"/>
            <w:vAlign w:val="center"/>
          </w:tcPr>
          <w:p w:rsidR="0062660B" w:rsidRDefault="005F1973">
            <w:pPr>
              <w:jc w:val="center"/>
              <w:rPr>
                <w:rFonts w:ascii="宋体" w:cs="仿宋_GB2312"/>
                <w:bCs/>
                <w:sz w:val="24"/>
              </w:rPr>
            </w:pPr>
            <w:r>
              <w:rPr>
                <w:rFonts w:ascii="宋体" w:hAnsi="宋体" w:cs="仿宋_GB2312" w:hint="eastAsia"/>
                <w:bCs/>
                <w:sz w:val="24"/>
              </w:rPr>
              <w:t>二氧化硫</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3722</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11870</w:t>
            </w:r>
          </w:p>
        </w:tc>
        <w:tc>
          <w:tcPr>
            <w:tcW w:w="1440" w:type="dxa"/>
            <w:vMerge w:val="restart"/>
            <w:vAlign w:val="center"/>
          </w:tcPr>
          <w:p w:rsidR="0062660B" w:rsidRDefault="005F1973">
            <w:pPr>
              <w:jc w:val="center"/>
              <w:rPr>
                <w:rFonts w:ascii="宋体" w:cs="仿宋_GB2312"/>
                <w:bCs/>
                <w:sz w:val="24"/>
              </w:rPr>
            </w:pPr>
            <w:r>
              <w:rPr>
                <w:rFonts w:ascii="宋体" w:cs="仿宋_GB2312" w:hint="eastAsia"/>
                <w:bCs/>
                <w:sz w:val="24"/>
              </w:rPr>
              <w:t>2000.40</w:t>
            </w:r>
          </w:p>
        </w:tc>
        <w:tc>
          <w:tcPr>
            <w:tcW w:w="1440" w:type="dxa"/>
            <w:vAlign w:val="center"/>
          </w:tcPr>
          <w:p w:rsidR="0062660B" w:rsidRDefault="0062660B">
            <w:pPr>
              <w:rPr>
                <w:rFonts w:ascii="宋体" w:cs="仿宋_GB2312"/>
                <w:bCs/>
                <w:sz w:val="24"/>
              </w:rPr>
            </w:pPr>
          </w:p>
        </w:tc>
      </w:tr>
      <w:tr w:rsidR="0062660B">
        <w:trPr>
          <w:trHeight w:val="555"/>
          <w:jc w:val="center"/>
        </w:trPr>
        <w:tc>
          <w:tcPr>
            <w:tcW w:w="727" w:type="dxa"/>
            <w:vMerge/>
          </w:tcPr>
          <w:p w:rsidR="0062660B" w:rsidRDefault="0062660B">
            <w:pPr>
              <w:jc w:val="center"/>
              <w:rPr>
                <w:rFonts w:ascii="宋体" w:hAnsi="宋体" w:cs="仿宋_GB2312"/>
                <w:bCs/>
                <w:sz w:val="24"/>
              </w:rPr>
            </w:pPr>
          </w:p>
        </w:tc>
        <w:tc>
          <w:tcPr>
            <w:tcW w:w="1475" w:type="dxa"/>
            <w:vAlign w:val="center"/>
          </w:tcPr>
          <w:p w:rsidR="0062660B" w:rsidRDefault="005F1973">
            <w:pPr>
              <w:jc w:val="center"/>
              <w:rPr>
                <w:rFonts w:ascii="宋体" w:cs="仿宋_GB2312"/>
                <w:bCs/>
                <w:sz w:val="24"/>
              </w:rPr>
            </w:pPr>
            <w:r>
              <w:rPr>
                <w:rFonts w:ascii="宋体" w:hAnsi="宋体" w:cs="仿宋_GB2312" w:hint="eastAsia"/>
                <w:bCs/>
                <w:sz w:val="24"/>
              </w:rPr>
              <w:t>颗粒物</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4467</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8449</w:t>
            </w:r>
          </w:p>
        </w:tc>
        <w:tc>
          <w:tcPr>
            <w:tcW w:w="1440" w:type="dxa"/>
            <w:vMerge/>
            <w:vAlign w:val="center"/>
          </w:tcPr>
          <w:p w:rsidR="0062660B" w:rsidRDefault="0062660B">
            <w:pPr>
              <w:rPr>
                <w:rFonts w:ascii="宋体" w:cs="仿宋_GB2312"/>
                <w:bCs/>
                <w:sz w:val="24"/>
              </w:rPr>
            </w:pPr>
          </w:p>
        </w:tc>
        <w:tc>
          <w:tcPr>
            <w:tcW w:w="1440" w:type="dxa"/>
            <w:vAlign w:val="center"/>
          </w:tcPr>
          <w:p w:rsidR="0062660B" w:rsidRDefault="0062660B">
            <w:pPr>
              <w:rPr>
                <w:rFonts w:ascii="宋体" w:cs="仿宋_GB2312"/>
                <w:bCs/>
                <w:sz w:val="24"/>
              </w:rPr>
            </w:pPr>
          </w:p>
        </w:tc>
      </w:tr>
      <w:tr w:rsidR="0062660B">
        <w:trPr>
          <w:trHeight w:val="555"/>
          <w:jc w:val="center"/>
        </w:trPr>
        <w:tc>
          <w:tcPr>
            <w:tcW w:w="727" w:type="dxa"/>
            <w:vMerge/>
          </w:tcPr>
          <w:p w:rsidR="0062660B" w:rsidRDefault="0062660B">
            <w:pPr>
              <w:jc w:val="center"/>
              <w:rPr>
                <w:rFonts w:ascii="宋体" w:hAnsi="宋体" w:cs="仿宋_GB2312"/>
                <w:bCs/>
                <w:sz w:val="24"/>
              </w:rPr>
            </w:pPr>
          </w:p>
        </w:tc>
        <w:tc>
          <w:tcPr>
            <w:tcW w:w="1475" w:type="dxa"/>
            <w:vAlign w:val="center"/>
          </w:tcPr>
          <w:p w:rsidR="0062660B" w:rsidRDefault="005F1973">
            <w:pPr>
              <w:jc w:val="center"/>
              <w:rPr>
                <w:rFonts w:ascii="宋体" w:cs="仿宋_GB2312"/>
                <w:bCs/>
                <w:sz w:val="24"/>
              </w:rPr>
            </w:pPr>
            <w:r>
              <w:rPr>
                <w:rFonts w:ascii="宋体" w:hAnsi="宋体" w:cs="仿宋_GB2312" w:hint="eastAsia"/>
                <w:bCs/>
                <w:sz w:val="24"/>
              </w:rPr>
              <w:t>氮氧化物</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8586</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11999</w:t>
            </w:r>
          </w:p>
        </w:tc>
        <w:tc>
          <w:tcPr>
            <w:tcW w:w="1440" w:type="dxa"/>
            <w:vMerge/>
            <w:vAlign w:val="center"/>
          </w:tcPr>
          <w:p w:rsidR="0062660B" w:rsidRDefault="0062660B">
            <w:pPr>
              <w:rPr>
                <w:rFonts w:ascii="宋体" w:cs="仿宋_GB2312"/>
                <w:bCs/>
                <w:sz w:val="24"/>
              </w:rPr>
            </w:pPr>
          </w:p>
        </w:tc>
        <w:tc>
          <w:tcPr>
            <w:tcW w:w="1440" w:type="dxa"/>
            <w:vAlign w:val="center"/>
          </w:tcPr>
          <w:p w:rsidR="0062660B" w:rsidRDefault="0062660B">
            <w:pPr>
              <w:rPr>
                <w:rFonts w:ascii="宋体" w:cs="仿宋_GB2312"/>
                <w:bCs/>
                <w:sz w:val="24"/>
              </w:rPr>
            </w:pPr>
          </w:p>
        </w:tc>
      </w:tr>
      <w:tr w:rsidR="0062660B">
        <w:trPr>
          <w:trHeight w:val="555"/>
          <w:jc w:val="center"/>
        </w:trPr>
        <w:tc>
          <w:tcPr>
            <w:tcW w:w="727" w:type="dxa"/>
            <w:vMerge w:val="restart"/>
            <w:vAlign w:val="center"/>
          </w:tcPr>
          <w:p w:rsidR="0062660B" w:rsidRDefault="005F1973">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62660B" w:rsidRDefault="005F1973">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169.192</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765</w:t>
            </w:r>
          </w:p>
        </w:tc>
        <w:tc>
          <w:tcPr>
            <w:tcW w:w="1440" w:type="dxa"/>
            <w:vMerge/>
            <w:vAlign w:val="center"/>
          </w:tcPr>
          <w:p w:rsidR="0062660B" w:rsidRDefault="0062660B">
            <w:pPr>
              <w:rPr>
                <w:rFonts w:ascii="宋体" w:cs="仿宋_GB2312"/>
                <w:bCs/>
                <w:sz w:val="24"/>
              </w:rPr>
            </w:pPr>
          </w:p>
        </w:tc>
        <w:tc>
          <w:tcPr>
            <w:tcW w:w="1440" w:type="dxa"/>
            <w:vAlign w:val="center"/>
          </w:tcPr>
          <w:p w:rsidR="0062660B" w:rsidRDefault="0062660B">
            <w:pPr>
              <w:rPr>
                <w:rFonts w:ascii="宋体" w:cs="仿宋_GB2312"/>
                <w:bCs/>
                <w:sz w:val="24"/>
              </w:rPr>
            </w:pPr>
          </w:p>
        </w:tc>
      </w:tr>
      <w:tr w:rsidR="0062660B">
        <w:trPr>
          <w:trHeight w:val="555"/>
          <w:jc w:val="center"/>
        </w:trPr>
        <w:tc>
          <w:tcPr>
            <w:tcW w:w="727" w:type="dxa"/>
            <w:vMerge/>
          </w:tcPr>
          <w:p w:rsidR="0062660B" w:rsidRDefault="0062660B">
            <w:pPr>
              <w:jc w:val="center"/>
              <w:rPr>
                <w:rFonts w:ascii="宋体" w:hAnsi="宋体" w:cs="仿宋_GB2312"/>
                <w:bCs/>
                <w:sz w:val="24"/>
              </w:rPr>
            </w:pPr>
          </w:p>
        </w:tc>
        <w:tc>
          <w:tcPr>
            <w:tcW w:w="1475" w:type="dxa"/>
            <w:vAlign w:val="center"/>
          </w:tcPr>
          <w:p w:rsidR="0062660B" w:rsidRDefault="005F1973">
            <w:pPr>
              <w:jc w:val="center"/>
              <w:rPr>
                <w:rFonts w:ascii="宋体" w:cs="仿宋_GB2312"/>
                <w:bCs/>
                <w:sz w:val="24"/>
              </w:rPr>
            </w:pPr>
            <w:r>
              <w:rPr>
                <w:rFonts w:ascii="宋体" w:hAnsi="宋体" w:cs="仿宋_GB2312" w:hint="eastAsia"/>
                <w:bCs/>
                <w:sz w:val="24"/>
              </w:rPr>
              <w:t>氨氮</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33.625</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76.5</w:t>
            </w:r>
          </w:p>
        </w:tc>
        <w:tc>
          <w:tcPr>
            <w:tcW w:w="1440" w:type="dxa"/>
            <w:vMerge/>
            <w:vAlign w:val="center"/>
          </w:tcPr>
          <w:p w:rsidR="0062660B" w:rsidRDefault="0062660B">
            <w:pPr>
              <w:rPr>
                <w:rFonts w:ascii="宋体" w:cs="仿宋_GB2312"/>
                <w:bCs/>
                <w:sz w:val="24"/>
              </w:rPr>
            </w:pPr>
          </w:p>
        </w:tc>
        <w:tc>
          <w:tcPr>
            <w:tcW w:w="1440" w:type="dxa"/>
            <w:vAlign w:val="center"/>
          </w:tcPr>
          <w:p w:rsidR="0062660B" w:rsidRDefault="0062660B">
            <w:pPr>
              <w:rPr>
                <w:rFonts w:ascii="宋体" w:cs="仿宋_GB2312"/>
                <w:bCs/>
                <w:sz w:val="24"/>
              </w:rPr>
            </w:pPr>
          </w:p>
        </w:tc>
      </w:tr>
      <w:tr w:rsidR="0062660B">
        <w:trPr>
          <w:trHeight w:val="555"/>
          <w:jc w:val="center"/>
        </w:trPr>
        <w:tc>
          <w:tcPr>
            <w:tcW w:w="727" w:type="dxa"/>
            <w:vMerge/>
          </w:tcPr>
          <w:p w:rsidR="0062660B" w:rsidRDefault="0062660B">
            <w:pPr>
              <w:jc w:val="center"/>
              <w:rPr>
                <w:rFonts w:ascii="宋体" w:hAnsi="宋体" w:cs="仿宋_GB2312"/>
                <w:bCs/>
                <w:sz w:val="24"/>
              </w:rPr>
            </w:pPr>
          </w:p>
        </w:tc>
        <w:tc>
          <w:tcPr>
            <w:tcW w:w="1475" w:type="dxa"/>
            <w:vAlign w:val="center"/>
          </w:tcPr>
          <w:p w:rsidR="0062660B" w:rsidRDefault="005F1973">
            <w:pPr>
              <w:jc w:val="center"/>
              <w:rPr>
                <w:rFonts w:ascii="宋体" w:hAnsi="宋体" w:cs="仿宋_GB2312"/>
                <w:bCs/>
                <w:sz w:val="24"/>
              </w:rPr>
            </w:pPr>
            <w:r>
              <w:rPr>
                <w:rFonts w:ascii="宋体" w:hAnsi="宋体" w:cs="仿宋_GB2312" w:hint="eastAsia"/>
                <w:bCs/>
                <w:sz w:val="24"/>
              </w:rPr>
              <w:t>悬浮物</w:t>
            </w:r>
          </w:p>
        </w:tc>
        <w:tc>
          <w:tcPr>
            <w:tcW w:w="1948" w:type="dxa"/>
            <w:vAlign w:val="center"/>
          </w:tcPr>
          <w:p w:rsidR="0062660B" w:rsidRDefault="005F1973">
            <w:pPr>
              <w:jc w:val="center"/>
              <w:rPr>
                <w:rFonts w:ascii="宋体" w:cs="仿宋_GB2312"/>
                <w:bCs/>
                <w:sz w:val="24"/>
              </w:rPr>
            </w:pPr>
            <w:r>
              <w:rPr>
                <w:rFonts w:ascii="宋体" w:cs="仿宋_GB2312" w:hint="eastAsia"/>
                <w:bCs/>
                <w:sz w:val="24"/>
              </w:rPr>
              <w:t>159.427</w:t>
            </w:r>
          </w:p>
        </w:tc>
        <w:tc>
          <w:tcPr>
            <w:tcW w:w="1894" w:type="dxa"/>
            <w:vAlign w:val="center"/>
          </w:tcPr>
          <w:p w:rsidR="0062660B" w:rsidRDefault="005F1973">
            <w:pPr>
              <w:jc w:val="center"/>
              <w:rPr>
                <w:rFonts w:ascii="宋体" w:cs="仿宋_GB2312"/>
                <w:bCs/>
                <w:sz w:val="24"/>
              </w:rPr>
            </w:pPr>
            <w:r>
              <w:rPr>
                <w:rFonts w:ascii="宋体" w:cs="仿宋_GB2312" w:hint="eastAsia"/>
                <w:bCs/>
                <w:sz w:val="24"/>
              </w:rPr>
              <w:t>/</w:t>
            </w:r>
          </w:p>
        </w:tc>
        <w:tc>
          <w:tcPr>
            <w:tcW w:w="1440" w:type="dxa"/>
            <w:vMerge/>
            <w:vAlign w:val="center"/>
          </w:tcPr>
          <w:p w:rsidR="0062660B" w:rsidRDefault="0062660B">
            <w:pPr>
              <w:rPr>
                <w:rFonts w:ascii="宋体" w:cs="仿宋_GB2312"/>
                <w:bCs/>
                <w:sz w:val="24"/>
              </w:rPr>
            </w:pPr>
          </w:p>
        </w:tc>
        <w:tc>
          <w:tcPr>
            <w:tcW w:w="1440" w:type="dxa"/>
            <w:vAlign w:val="center"/>
          </w:tcPr>
          <w:p w:rsidR="0062660B" w:rsidRDefault="0062660B">
            <w:pPr>
              <w:rPr>
                <w:rFonts w:ascii="宋体" w:cs="仿宋_GB2312"/>
                <w:bCs/>
                <w:sz w:val="24"/>
              </w:rPr>
            </w:pPr>
          </w:p>
        </w:tc>
      </w:tr>
    </w:tbl>
    <w:p w:rsidR="0062660B" w:rsidRDefault="005F1973">
      <w:pPr>
        <w:rPr>
          <w:rFonts w:ascii="宋体" w:cs="仿宋_GB2312"/>
          <w:bCs/>
          <w:sz w:val="28"/>
          <w:szCs w:val="28"/>
        </w:rPr>
      </w:pPr>
      <w:r>
        <w:rPr>
          <w:rFonts w:ascii="宋体" w:cs="仿宋_GB2312" w:hint="eastAsia"/>
          <w:bCs/>
          <w:sz w:val="28"/>
          <w:szCs w:val="28"/>
        </w:rPr>
        <w:t>注：根据企业排污许可证上规定污染物种类填写。</w:t>
      </w:r>
    </w:p>
    <w:p w:rsidR="0062660B" w:rsidRDefault="005F1973">
      <w:pPr>
        <w:widowControl/>
        <w:jc w:val="left"/>
        <w:rPr>
          <w:rFonts w:ascii="宋体" w:eastAsia="黑体" w:cs="仿宋_GB2312"/>
          <w:bCs/>
          <w:sz w:val="28"/>
          <w:szCs w:val="28"/>
        </w:rPr>
      </w:pPr>
      <w:r>
        <w:rPr>
          <w:rFonts w:ascii="宋体" w:eastAsia="黑体" w:cs="仿宋_GB2312"/>
          <w:bCs/>
          <w:sz w:val="28"/>
          <w:szCs w:val="28"/>
        </w:rPr>
        <w:br w:type="page"/>
      </w:r>
    </w:p>
    <w:p w:rsidR="0062660B" w:rsidRDefault="005F1973" w:rsidP="001D65A0">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62660B" w:rsidRDefault="005F1973" w:rsidP="001D65A0">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9"/>
        <w:gridCol w:w="972"/>
        <w:gridCol w:w="1976"/>
        <w:gridCol w:w="1137"/>
        <w:gridCol w:w="2539"/>
        <w:gridCol w:w="942"/>
      </w:tblGrid>
      <w:tr w:rsidR="0062660B">
        <w:trPr>
          <w:trHeight w:val="583"/>
          <w:tblHeader/>
          <w:jc w:val="center"/>
        </w:trPr>
        <w:tc>
          <w:tcPr>
            <w:tcW w:w="450" w:type="pct"/>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序号</w:t>
            </w:r>
          </w:p>
        </w:tc>
        <w:tc>
          <w:tcPr>
            <w:tcW w:w="778" w:type="pct"/>
            <w:gridSpan w:val="2"/>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130" w:type="pct"/>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650" w:type="pct"/>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单位</w:t>
            </w:r>
          </w:p>
        </w:tc>
        <w:tc>
          <w:tcPr>
            <w:tcW w:w="1452" w:type="pct"/>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实际值</w:t>
            </w:r>
          </w:p>
        </w:tc>
        <w:tc>
          <w:tcPr>
            <w:tcW w:w="537" w:type="pct"/>
            <w:vAlign w:val="center"/>
          </w:tcPr>
          <w:p w:rsidR="0062660B" w:rsidRDefault="005F1973">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自测分</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contextualSpacing/>
              <w:jc w:val="left"/>
              <w:rPr>
                <w:rFonts w:ascii="宋体" w:hAnsi="宋体" w:cs="宋体"/>
                <w:color w:val="000000"/>
                <w:kern w:val="0"/>
                <w:sz w:val="24"/>
              </w:rPr>
            </w:pPr>
            <w:r>
              <w:rPr>
                <w:rFonts w:ascii="宋体" w:hAnsi="宋体" w:cs="宋体" w:hint="eastAsia"/>
                <w:color w:val="000000"/>
                <w:kern w:val="0"/>
                <w:sz w:val="24"/>
                <w:lang w:bidi="ar"/>
              </w:rPr>
              <w:t>焦化：65孔7m焦炉2座，58孔6m焦炉2座</w:t>
            </w:r>
          </w:p>
          <w:p w:rsidR="0062660B" w:rsidRDefault="005F1973">
            <w:pPr>
              <w:widowControl/>
              <w:contextualSpacing/>
              <w:jc w:val="left"/>
              <w:rPr>
                <w:rFonts w:ascii="宋体" w:hAnsi="宋体" w:cs="宋体"/>
                <w:color w:val="000000"/>
                <w:kern w:val="0"/>
                <w:sz w:val="24"/>
                <w:lang w:bidi="ar"/>
              </w:rPr>
            </w:pPr>
            <w:r>
              <w:rPr>
                <w:rFonts w:ascii="宋体" w:hAnsi="宋体" w:cs="宋体" w:hint="eastAsia"/>
                <w:color w:val="000000"/>
                <w:kern w:val="0"/>
                <w:sz w:val="24"/>
                <w:lang w:bidi="ar"/>
              </w:rPr>
              <w:t>烧结：115m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烧结机1座，180m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烧结机1座，360m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烧结机3座（2024年115m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和180m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烧结机将退出，置换成660m</w:t>
            </w:r>
            <w:r>
              <w:rPr>
                <w:rFonts w:ascii="宋体" w:hAnsi="宋体" w:cs="宋体" w:hint="eastAsia"/>
                <w:color w:val="000000"/>
                <w:kern w:val="0"/>
                <w:sz w:val="24"/>
                <w:vertAlign w:val="superscript"/>
                <w:lang w:bidi="ar"/>
              </w:rPr>
              <w:t>2</w:t>
            </w:r>
            <w:r>
              <w:rPr>
                <w:rFonts w:ascii="宋体" w:hAnsi="宋体" w:cs="宋体" w:hint="eastAsia"/>
                <w:color w:val="000000"/>
                <w:kern w:val="0"/>
                <w:sz w:val="24"/>
                <w:lang w:bidi="ar"/>
              </w:rPr>
              <w:t>烧结机）</w:t>
            </w:r>
          </w:p>
          <w:p w:rsidR="0062660B" w:rsidRDefault="005F1973">
            <w:pPr>
              <w:widowControl/>
              <w:contextualSpacing/>
              <w:jc w:val="left"/>
              <w:rPr>
                <w:rFonts w:ascii="宋体" w:hAnsi="宋体" w:cs="宋体"/>
                <w:color w:val="000000"/>
                <w:kern w:val="0"/>
                <w:sz w:val="24"/>
                <w:highlight w:val="yellow"/>
              </w:rPr>
            </w:pPr>
            <w:r>
              <w:rPr>
                <w:rFonts w:ascii="宋体" w:hAnsi="宋体" w:cs="宋体" w:hint="eastAsia"/>
                <w:color w:val="000000"/>
                <w:kern w:val="0"/>
                <w:sz w:val="24"/>
                <w:lang w:bidi="ar"/>
              </w:rPr>
              <w:t>炼铁：1311m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高炉1座，1235m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高炉1座，1253m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高炉1座，1468m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高炉1座、2712m</w:t>
            </w:r>
            <w:r>
              <w:rPr>
                <w:rFonts w:ascii="宋体" w:hAnsi="宋体" w:cs="宋体" w:hint="eastAsia"/>
                <w:color w:val="000000"/>
                <w:kern w:val="0"/>
                <w:sz w:val="24"/>
                <w:vertAlign w:val="superscript"/>
                <w:lang w:bidi="ar"/>
              </w:rPr>
              <w:t>3</w:t>
            </w:r>
            <w:r>
              <w:rPr>
                <w:rFonts w:ascii="宋体" w:hAnsi="宋体" w:cs="宋体" w:hint="eastAsia"/>
                <w:color w:val="000000"/>
                <w:kern w:val="0"/>
                <w:sz w:val="24"/>
                <w:lang w:bidi="ar"/>
              </w:rPr>
              <w:t>高炉2座；炼钢：210t转炉2座，100t转炉3座</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2539" w:type="dxa"/>
            <w:vAlign w:val="center"/>
          </w:tcPr>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主体工序或配套节能环保设施采用：</w:t>
            </w:r>
          </w:p>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1）焦炉煤气上升管余热回收技术；</w:t>
            </w:r>
          </w:p>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3）烧结矿显热回收技术（按产能测算的配置率≥80%）；</w:t>
            </w:r>
          </w:p>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7）铁钢高效衔接技术（如铁包加盖、鱼雷罐车、“一包到底”等）；</w:t>
            </w:r>
          </w:p>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8）连铸坯热装热送技术；</w:t>
            </w:r>
          </w:p>
          <w:p w:rsidR="0062660B" w:rsidRDefault="005F1973">
            <w:pPr>
              <w:widowControl/>
              <w:jc w:val="left"/>
              <w:rPr>
                <w:rFonts w:ascii="宋体" w:hAnsi="宋体" w:cs="宋体"/>
                <w:color w:val="000000"/>
                <w:kern w:val="0"/>
                <w:sz w:val="24"/>
              </w:rPr>
            </w:pPr>
            <w:r>
              <w:rPr>
                <w:rFonts w:ascii="宋体" w:hAnsi="宋体" w:cs="宋体" w:hint="eastAsia"/>
                <w:color w:val="000000"/>
                <w:kern w:val="0"/>
                <w:sz w:val="24"/>
                <w:lang w:bidi="ar"/>
              </w:rPr>
              <w:t>10）冶金粉尘铁锌钾回收技术；</w:t>
            </w:r>
          </w:p>
          <w:p w:rsidR="0062660B" w:rsidRDefault="005F1973">
            <w:pPr>
              <w:widowControl/>
              <w:jc w:val="left"/>
              <w:rPr>
                <w:rFonts w:ascii="宋体" w:hAnsi="宋体" w:cs="宋体"/>
                <w:color w:val="000000"/>
                <w:kern w:val="0"/>
                <w:sz w:val="24"/>
                <w:highlight w:val="yellow"/>
              </w:rPr>
            </w:pPr>
            <w:r>
              <w:rPr>
                <w:rFonts w:ascii="宋体" w:hAnsi="宋体" w:cs="宋体" w:hint="eastAsia"/>
                <w:color w:val="000000"/>
                <w:kern w:val="0"/>
                <w:sz w:val="24"/>
                <w:lang w:bidi="ar"/>
              </w:rPr>
              <w:t>12）对酚氰废水或中水采用深度处理技术；</w:t>
            </w:r>
          </w:p>
        </w:tc>
        <w:tc>
          <w:tcPr>
            <w:tcW w:w="939" w:type="dxa"/>
            <w:vAlign w:val="center"/>
          </w:tcPr>
          <w:p w:rsidR="0062660B" w:rsidRDefault="005F1973">
            <w:pPr>
              <w:widowControl/>
              <w:spacing w:line="360" w:lineRule="atLeast"/>
              <w:jc w:val="center"/>
              <w:rPr>
                <w:rFonts w:ascii="宋体" w:hAnsi="宋体" w:cs="宋体"/>
                <w:color w:val="000000"/>
                <w:kern w:val="0"/>
                <w:sz w:val="24"/>
                <w:highlight w:val="yellow"/>
              </w:rPr>
            </w:pPr>
            <w:r>
              <w:rPr>
                <w:rFonts w:ascii="宋体" w:hAnsi="宋体" w:cs="宋体" w:hint="eastAsia"/>
                <w:color w:val="000000"/>
                <w:kern w:val="0"/>
                <w:sz w:val="24"/>
                <w:lang w:bidi="ar"/>
              </w:rPr>
              <w:t>4</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2539" w:type="dxa"/>
            <w:vAlign w:val="center"/>
          </w:tcPr>
          <w:p w:rsidR="0062660B" w:rsidRDefault="005F1973">
            <w:pPr>
              <w:widowControl/>
              <w:spacing w:line="360" w:lineRule="atLeast"/>
              <w:jc w:val="left"/>
              <w:rPr>
                <w:rFonts w:ascii="宋体" w:hAnsi="宋体" w:cs="宋体"/>
                <w:color w:val="000000"/>
                <w:kern w:val="0"/>
                <w:sz w:val="24"/>
                <w:highlight w:val="yellow"/>
              </w:rPr>
            </w:pPr>
            <w:r>
              <w:rPr>
                <w:rFonts w:ascii="宋体" w:hAnsi="宋体" w:cs="宋体" w:hint="eastAsia"/>
                <w:color w:val="000000"/>
                <w:kern w:val="0"/>
                <w:sz w:val="24"/>
                <w:lang w:bidi="ar"/>
              </w:rPr>
              <w:t>人工湿地生态废水处理技术；</w:t>
            </w:r>
          </w:p>
        </w:tc>
        <w:tc>
          <w:tcPr>
            <w:tcW w:w="939" w:type="dxa"/>
            <w:vAlign w:val="center"/>
          </w:tcPr>
          <w:p w:rsidR="0062660B" w:rsidRDefault="005F1973">
            <w:pPr>
              <w:widowControl/>
              <w:spacing w:line="360" w:lineRule="atLeast"/>
              <w:jc w:val="center"/>
              <w:rPr>
                <w:rFonts w:ascii="宋体" w:hAnsi="宋体" w:cs="宋体"/>
                <w:color w:val="000000"/>
                <w:kern w:val="0"/>
                <w:sz w:val="24"/>
                <w:highlight w:val="yellow"/>
              </w:rPr>
            </w:pPr>
            <w:r>
              <w:rPr>
                <w:rFonts w:ascii="宋体" w:hAnsi="宋体" w:cs="宋体" w:hint="eastAsia"/>
                <w:color w:val="000000"/>
                <w:kern w:val="0"/>
                <w:sz w:val="24"/>
                <w:lang w:bidi="ar"/>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w:t>
            </w:r>
          </w:p>
        </w:tc>
        <w:tc>
          <w:tcPr>
            <w:tcW w:w="778" w:type="pct"/>
            <w:gridSpan w:val="2"/>
            <w:vMerge w:val="restart"/>
            <w:vAlign w:val="center"/>
          </w:tcPr>
          <w:p w:rsidR="0062660B" w:rsidRDefault="005F1973">
            <w:pPr>
              <w:jc w:val="center"/>
              <w:rPr>
                <w:rFonts w:ascii="宋体" w:hAnsi="宋体" w:cs="宋体"/>
                <w:kern w:val="0"/>
                <w:sz w:val="24"/>
              </w:rPr>
            </w:pPr>
            <w:r>
              <w:rPr>
                <w:rFonts w:ascii="宋体" w:hAnsi="宋体" w:cs="宋体" w:hint="eastAsia"/>
                <w:kern w:val="0"/>
                <w:sz w:val="24"/>
              </w:rPr>
              <w:t>资源利用</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56.95</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5</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jc w:val="left"/>
              <w:rPr>
                <w:rFonts w:ascii="宋体" w:hAnsi="宋体" w:cs="宋体"/>
                <w:color w:val="000000"/>
                <w:kern w:val="0"/>
                <w:sz w:val="24"/>
              </w:rPr>
            </w:pPr>
            <w:r>
              <w:rPr>
                <w:rFonts w:ascii="宋体" w:hAnsi="宋体" w:cs="宋体" w:hint="eastAsia"/>
                <w:color w:val="000000"/>
                <w:kern w:val="0"/>
                <w:sz w:val="24"/>
                <w:lang w:bidi="ar"/>
              </w:rPr>
              <w:t>1055.5</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6</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吨钢废钢使用量159.43kg/t；</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7</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m</w:t>
            </w:r>
            <w:r>
              <w:rPr>
                <w:rFonts w:ascii="宋体" w:hAnsi="宋体" w:cs="宋体" w:hint="eastAsia"/>
                <w:color w:val="000000"/>
                <w:kern w:val="0"/>
                <w:sz w:val="24"/>
                <w:vertAlign w:val="superscript"/>
              </w:rPr>
              <w:t>3</w:t>
            </w:r>
            <w:r>
              <w:rPr>
                <w:rFonts w:ascii="宋体" w:hAnsi="宋体" w:cs="宋体" w:hint="eastAsia"/>
                <w:color w:val="000000"/>
                <w:kern w:val="0"/>
                <w:sz w:val="24"/>
              </w:rPr>
              <w:t>/t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3.8（含热轧及冷轧加工）</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8</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650" w:type="pct"/>
            <w:vAlign w:val="center"/>
          </w:tcPr>
          <w:p w:rsidR="0062660B" w:rsidRDefault="005F1973">
            <w:pPr>
              <w:widowControl/>
              <w:spacing w:line="360" w:lineRule="atLeast"/>
              <w:contextualSpacing/>
              <w:jc w:val="center"/>
              <w:rPr>
                <w:rFonts w:ascii="宋体" w:hAnsi="宋体" w:cs="宋体"/>
                <w:kern w:val="0"/>
                <w:sz w:val="24"/>
              </w:rPr>
            </w:pPr>
            <w:r>
              <w:rPr>
                <w:rFonts w:ascii="宋体" w:hAnsi="宋体" w:cs="宋体" w:hint="eastAsia"/>
                <w:kern w:val="0"/>
                <w:sz w:val="24"/>
              </w:rPr>
              <w:t>%</w:t>
            </w:r>
          </w:p>
        </w:tc>
        <w:tc>
          <w:tcPr>
            <w:tcW w:w="1452" w:type="pct"/>
            <w:vAlign w:val="center"/>
          </w:tcPr>
          <w:p w:rsidR="0062660B" w:rsidRDefault="005F1973">
            <w:pPr>
              <w:snapToGrid w:val="0"/>
              <w:jc w:val="left"/>
              <w:rPr>
                <w:rFonts w:ascii="宋体" w:hAnsi="宋体" w:cs="宋体"/>
                <w:kern w:val="0"/>
                <w:sz w:val="24"/>
              </w:rPr>
            </w:pPr>
            <w:r>
              <w:rPr>
                <w:rFonts w:ascii="宋体" w:hAnsi="宋体" w:cs="宋体" w:hint="eastAsia"/>
                <w:bCs/>
                <w:kern w:val="24"/>
                <w:sz w:val="24"/>
                <w:lang w:bidi="ar"/>
              </w:rPr>
              <w:t>热轧加工</w:t>
            </w:r>
            <w:r>
              <w:rPr>
                <w:rFonts w:ascii="宋体" w:hAnsi="宋体" w:cs="Arial" w:hint="eastAsia"/>
                <w:bCs/>
                <w:kern w:val="24"/>
                <w:sz w:val="24"/>
                <w:lang w:bidi="ar"/>
              </w:rPr>
              <w:t>/</w:t>
            </w:r>
            <w:r>
              <w:rPr>
                <w:rFonts w:ascii="宋体" w:hAnsi="宋体" w:cs="宋体" w:hint="eastAsia"/>
                <w:bCs/>
                <w:kern w:val="24"/>
                <w:sz w:val="24"/>
                <w:lang w:bidi="ar"/>
              </w:rPr>
              <w:t>热轧：98.175；冷轧加工</w:t>
            </w:r>
            <w:r>
              <w:rPr>
                <w:rFonts w:ascii="宋体" w:hAnsi="宋体" w:cs="Arial" w:hint="eastAsia"/>
                <w:bCs/>
                <w:kern w:val="24"/>
                <w:sz w:val="24"/>
                <w:lang w:bidi="ar"/>
              </w:rPr>
              <w:t>/</w:t>
            </w:r>
            <w:r>
              <w:rPr>
                <w:rFonts w:ascii="宋体" w:hAnsi="宋体" w:cs="宋体" w:hint="eastAsia"/>
                <w:bCs/>
                <w:kern w:val="24"/>
                <w:sz w:val="24"/>
                <w:lang w:bidi="ar"/>
              </w:rPr>
              <w:t>热轧：94.8</w:t>
            </w:r>
          </w:p>
        </w:tc>
        <w:tc>
          <w:tcPr>
            <w:tcW w:w="537" w:type="pct"/>
            <w:vAlign w:val="center"/>
          </w:tcPr>
          <w:p w:rsidR="0062660B" w:rsidRDefault="005F1973">
            <w:pPr>
              <w:widowControl/>
              <w:spacing w:line="360" w:lineRule="atLeast"/>
              <w:contextualSpacing/>
              <w:jc w:val="center"/>
              <w:rPr>
                <w:rFonts w:ascii="宋体" w:hAnsi="宋体" w:cs="宋体"/>
                <w:kern w:val="0"/>
                <w:sz w:val="24"/>
              </w:rPr>
            </w:pPr>
            <w:r>
              <w:rPr>
                <w:rFonts w:ascii="宋体" w:hAnsi="宋体" w:cs="宋体" w:hint="eastAsia"/>
                <w:color w:val="000000"/>
                <w:kern w:val="0"/>
                <w:sz w:val="24"/>
              </w:rPr>
              <w:t>/</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9</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523</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10</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2023年煤炭消费总量707.33万吨，去年同期727.54万吨，同比下降2.78%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11</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同一口径下，2022年吨钢综合能耗562.8,2023年实绩521.7，下降率7.3%</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12</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kgce/t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焦化：118</w:t>
            </w:r>
          </w:p>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烧结：51.7</w:t>
            </w:r>
          </w:p>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高炉炼铁：403.4</w:t>
            </w:r>
          </w:p>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转炉炼钢：-18.7</w:t>
            </w:r>
          </w:p>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球团：31.4</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13</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tce</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自有光伏发电装置较去年新增4.78MW</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14</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10%</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15</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2.71%</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16</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0.47</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17</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0.39</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18</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0.91</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19</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sz w:val="24"/>
              </w:rPr>
              <w:t>企业无组织排放控制</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24年开展无组织超低排放改造</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20</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0.02</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21</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0.004</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22</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2个以上工序实现雨污分流</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23</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tcBorders>
              <w:top w:val="single" w:sz="4" w:space="0" w:color="auto"/>
              <w:left w:val="single" w:sz="4" w:space="0" w:color="auto"/>
              <w:bottom w:val="single" w:sz="4" w:space="0" w:color="auto"/>
              <w:right w:val="single" w:sz="4" w:space="0" w:color="auto"/>
            </w:tcBorders>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650" w:type="pct"/>
            <w:tcBorders>
              <w:top w:val="single" w:sz="4" w:space="0" w:color="auto"/>
              <w:left w:val="single" w:sz="4" w:space="0" w:color="auto"/>
              <w:bottom w:val="single" w:sz="4" w:space="0" w:color="auto"/>
              <w:right w:val="single" w:sz="4" w:space="0" w:color="auto"/>
            </w:tcBorders>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kg/t</w:t>
            </w:r>
          </w:p>
        </w:tc>
        <w:tc>
          <w:tcPr>
            <w:tcW w:w="1452" w:type="pct"/>
            <w:tcBorders>
              <w:top w:val="single" w:sz="4" w:space="0" w:color="auto"/>
              <w:left w:val="single" w:sz="4" w:space="0" w:color="auto"/>
              <w:bottom w:val="single" w:sz="4" w:space="0" w:color="auto"/>
              <w:right w:val="single" w:sz="4" w:space="0" w:color="auto"/>
            </w:tcBorders>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620</w:t>
            </w:r>
          </w:p>
        </w:tc>
        <w:tc>
          <w:tcPr>
            <w:tcW w:w="537" w:type="pct"/>
            <w:tcBorders>
              <w:top w:val="single" w:sz="4" w:space="0" w:color="auto"/>
              <w:left w:val="single" w:sz="4" w:space="0" w:color="auto"/>
              <w:bottom w:val="single" w:sz="4" w:space="0" w:color="auto"/>
              <w:right w:val="single" w:sz="4" w:space="0" w:color="auto"/>
            </w:tcBorders>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24</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25</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78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kern w:val="0"/>
                <w:sz w:val="24"/>
              </w:rPr>
            </w:pPr>
            <w:r>
              <w:rPr>
                <w:rFonts w:ascii="宋体" w:hAnsi="宋体" w:cs="宋体" w:hint="eastAsia"/>
                <w:kern w:val="0"/>
                <w:sz w:val="24"/>
              </w:rPr>
              <w:t>26</w:t>
            </w:r>
          </w:p>
        </w:tc>
        <w:tc>
          <w:tcPr>
            <w:tcW w:w="778" w:type="pct"/>
            <w:gridSpan w:val="2"/>
            <w:vMerge/>
            <w:vAlign w:val="center"/>
          </w:tcPr>
          <w:p w:rsidR="0062660B" w:rsidRDefault="0062660B">
            <w:pPr>
              <w:widowControl/>
              <w:spacing w:line="360" w:lineRule="atLeast"/>
              <w:contextualSpacing/>
              <w:jc w:val="center"/>
              <w:rPr>
                <w:rFonts w:ascii="宋体" w:hAnsi="宋体" w:cs="宋体"/>
                <w:kern w:val="0"/>
                <w:sz w:val="24"/>
              </w:rPr>
            </w:pPr>
          </w:p>
        </w:tc>
        <w:tc>
          <w:tcPr>
            <w:tcW w:w="1130" w:type="pct"/>
            <w:vAlign w:val="center"/>
          </w:tcPr>
          <w:p w:rsidR="0062660B" w:rsidRDefault="005F1973">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650" w:type="pct"/>
            <w:vAlign w:val="center"/>
          </w:tcPr>
          <w:p w:rsidR="0062660B" w:rsidRDefault="005F1973">
            <w:pPr>
              <w:widowControl/>
              <w:spacing w:line="360" w:lineRule="atLeast"/>
              <w:contextualSpacing/>
              <w:jc w:val="center"/>
              <w:rPr>
                <w:rFonts w:ascii="宋体" w:hAnsi="宋体" w:cs="宋体"/>
                <w:kern w:val="0"/>
                <w:sz w:val="24"/>
              </w:rPr>
            </w:pPr>
            <w:r>
              <w:rPr>
                <w:rFonts w:ascii="宋体" w:hAnsi="宋体" w:cs="宋体" w:hint="eastAsia"/>
                <w:kern w:val="0"/>
                <w:sz w:val="24"/>
              </w:rPr>
              <w:t>元/吨</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248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27</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建立健全环境信息披露制度，定期发布环境责任报告、社会责任报告或可持续发展报告等</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28</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24.38%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29</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吨/(平方公里·月)</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18</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30</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无监测数据，未统计</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31</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μg/m</w:t>
            </w:r>
            <w:r>
              <w:rPr>
                <w:rFonts w:ascii="宋体" w:hAnsi="宋体" w:cs="宋体" w:hint="eastAsia"/>
                <w:color w:val="000000"/>
                <w:kern w:val="0"/>
                <w:sz w:val="24"/>
                <w:vertAlign w:val="superscript"/>
              </w:rPr>
              <w:t>3</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无监测数据，未统计</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32</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吨/人</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1065</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33</w:t>
            </w:r>
          </w:p>
        </w:tc>
        <w:tc>
          <w:tcPr>
            <w:tcW w:w="778" w:type="pct"/>
            <w:gridSpan w:val="2"/>
            <w:vMerge/>
            <w:vAlign w:val="center"/>
          </w:tcPr>
          <w:p w:rsidR="0062660B" w:rsidRDefault="0062660B">
            <w:pPr>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小时/人</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90</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34</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有能源管控中心，未建成智慧能源管控系统</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35</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无</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36</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650" w:type="pct"/>
            <w:vAlign w:val="center"/>
          </w:tcPr>
          <w:p w:rsidR="0062660B" w:rsidRDefault="005F1973">
            <w:pPr>
              <w:widowControl/>
              <w:spacing w:line="360" w:lineRule="atLeast"/>
              <w:contextualSpacing/>
              <w:jc w:val="center"/>
              <w:rPr>
                <w:rFonts w:ascii="宋体" w:hAnsi="宋体" w:cs="宋体"/>
                <w:color w:val="FF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无</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37</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highlight w:val="yellow"/>
              </w:rPr>
            </w:pPr>
            <w:r>
              <w:rPr>
                <w:rFonts w:ascii="宋体" w:hAnsi="宋体" w:cs="宋体" w:hint="eastAsia"/>
                <w:color w:val="000000"/>
                <w:kern w:val="0"/>
                <w:sz w:val="24"/>
              </w:rPr>
              <w:t>无</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38</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无</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39</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55</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40</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41</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0</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42</w:t>
            </w:r>
          </w:p>
        </w:tc>
        <w:tc>
          <w:tcPr>
            <w:tcW w:w="778" w:type="pct"/>
            <w:gridSpan w:val="2"/>
            <w:vMerge w:val="restar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contextualSpacing/>
              <w:jc w:val="left"/>
              <w:rPr>
                <w:rFonts w:ascii="宋体" w:hAnsi="宋体" w:cs="宋体"/>
                <w:color w:val="000000"/>
                <w:kern w:val="0"/>
                <w:sz w:val="24"/>
                <w:highlight w:val="yellow"/>
              </w:rPr>
            </w:pPr>
            <w:r>
              <w:rPr>
                <w:rFonts w:ascii="宋体" w:hAnsi="宋体" w:cs="宋体" w:hint="eastAsia"/>
                <w:color w:val="000000"/>
                <w:kern w:val="0"/>
                <w:sz w:val="24"/>
                <w:lang w:bidi="ar"/>
              </w:rPr>
              <w:t>新钢成立了“双碳办公室”与能源环保部合署办公，管理制度正在进行编制中。制定新余钢铁集团有限公司碳达峰及低碳发展行动计划并编制《新钢集团碳达峰碳中和行动方案》和《新钢集团低碳钢工作方案》</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43</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t</w:t>
            </w:r>
            <w:r>
              <w:rPr>
                <w:rFonts w:ascii="宋体" w:hAnsi="宋体" w:cs="宋体" w:hint="eastAsia"/>
                <w:color w:val="000000"/>
                <w:kern w:val="0"/>
                <w:sz w:val="24"/>
                <w:vertAlign w:val="subscript"/>
              </w:rPr>
              <w:t>CO2</w:t>
            </w:r>
            <w:r>
              <w:rPr>
                <w:rFonts w:ascii="宋体" w:hAnsi="宋体" w:cs="宋体" w:hint="eastAsia"/>
                <w:color w:val="000000"/>
                <w:kern w:val="0"/>
                <w:sz w:val="24"/>
              </w:rPr>
              <w:t>/t</w:t>
            </w:r>
          </w:p>
        </w:tc>
        <w:tc>
          <w:tcPr>
            <w:tcW w:w="1452" w:type="pct"/>
            <w:vAlign w:val="center"/>
          </w:tcPr>
          <w:p w:rsidR="0062660B" w:rsidRDefault="005F1973">
            <w:pPr>
              <w:spacing w:line="360" w:lineRule="atLeast"/>
              <w:contextualSpacing/>
              <w:jc w:val="left"/>
              <w:rPr>
                <w:rFonts w:ascii="宋体" w:hAnsi="宋体" w:cs="宋体"/>
                <w:color w:val="000000"/>
                <w:kern w:val="0"/>
                <w:sz w:val="24"/>
                <w:lang w:bidi="ar"/>
              </w:rPr>
            </w:pPr>
            <w:r>
              <w:rPr>
                <w:rFonts w:ascii="宋体" w:hAnsi="宋体" w:cs="宋体" w:hint="eastAsia"/>
                <w:color w:val="000000"/>
                <w:kern w:val="0"/>
                <w:sz w:val="24"/>
                <w:lang w:bidi="ar"/>
              </w:rPr>
              <w:t>2022年碳排放强度为1.94</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2</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44</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spacing w:line="360" w:lineRule="atLeast"/>
              <w:contextualSpacing/>
              <w:jc w:val="left"/>
              <w:rPr>
                <w:rFonts w:ascii="宋体" w:hAnsi="宋体" w:cs="宋体"/>
                <w:color w:val="000000"/>
                <w:kern w:val="0"/>
                <w:sz w:val="24"/>
                <w:lang w:bidi="ar"/>
              </w:rPr>
            </w:pPr>
            <w:r>
              <w:rPr>
                <w:rFonts w:ascii="宋体" w:hAnsi="宋体" w:cs="宋体" w:hint="eastAsia"/>
                <w:color w:val="000000"/>
                <w:kern w:val="0"/>
                <w:sz w:val="24"/>
                <w:lang w:bidi="ar"/>
              </w:rPr>
              <w:t>无自愿减排</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0</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45</w:t>
            </w:r>
          </w:p>
        </w:tc>
        <w:tc>
          <w:tcPr>
            <w:tcW w:w="778" w:type="pct"/>
            <w:gridSpan w:val="2"/>
            <w:vMerge/>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5F1973">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6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w:t>
            </w:r>
          </w:p>
        </w:tc>
        <w:tc>
          <w:tcPr>
            <w:tcW w:w="1452" w:type="pct"/>
            <w:vAlign w:val="center"/>
          </w:tcPr>
          <w:p w:rsidR="0062660B" w:rsidRDefault="005F1973">
            <w:pPr>
              <w:spacing w:line="360" w:lineRule="atLeast"/>
              <w:contextualSpacing/>
              <w:jc w:val="left"/>
              <w:rPr>
                <w:rFonts w:ascii="宋体" w:hAnsi="宋体" w:cs="宋体"/>
                <w:color w:val="000000"/>
                <w:kern w:val="0"/>
                <w:sz w:val="24"/>
                <w:lang w:bidi="ar"/>
              </w:rPr>
            </w:pPr>
            <w:r>
              <w:rPr>
                <w:rFonts w:ascii="宋体" w:hAnsi="宋体" w:cs="宋体" w:hint="eastAsia"/>
                <w:color w:val="000000"/>
                <w:kern w:val="0"/>
                <w:sz w:val="24"/>
                <w:lang w:bidi="ar"/>
              </w:rPr>
              <w:t>组织、参与绿色低碳活动</w:t>
            </w:r>
          </w:p>
        </w:tc>
        <w:tc>
          <w:tcPr>
            <w:tcW w:w="537"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1</w:t>
            </w:r>
          </w:p>
        </w:tc>
      </w:tr>
      <w:tr w:rsidR="0062660B">
        <w:trPr>
          <w:trHeight w:val="454"/>
          <w:jc w:val="center"/>
        </w:trPr>
        <w:tc>
          <w:tcPr>
            <w:tcW w:w="450" w:type="pct"/>
            <w:vAlign w:val="center"/>
          </w:tcPr>
          <w:p w:rsidR="0062660B" w:rsidRDefault="005F1973">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合计</w:t>
            </w:r>
          </w:p>
        </w:tc>
        <w:tc>
          <w:tcPr>
            <w:tcW w:w="778" w:type="pct"/>
            <w:gridSpan w:val="2"/>
            <w:vAlign w:val="center"/>
          </w:tcPr>
          <w:p w:rsidR="0062660B" w:rsidRDefault="0062660B">
            <w:pPr>
              <w:widowControl/>
              <w:spacing w:line="360" w:lineRule="atLeast"/>
              <w:contextualSpacing/>
              <w:jc w:val="center"/>
              <w:rPr>
                <w:rFonts w:ascii="宋体" w:hAnsi="宋体" w:cs="宋体"/>
                <w:color w:val="000000"/>
                <w:kern w:val="0"/>
                <w:sz w:val="24"/>
              </w:rPr>
            </w:pPr>
          </w:p>
        </w:tc>
        <w:tc>
          <w:tcPr>
            <w:tcW w:w="1130" w:type="pct"/>
            <w:vAlign w:val="center"/>
          </w:tcPr>
          <w:p w:rsidR="0062660B" w:rsidRDefault="0062660B">
            <w:pPr>
              <w:widowControl/>
              <w:spacing w:line="360" w:lineRule="atLeast"/>
              <w:contextualSpacing/>
              <w:jc w:val="center"/>
              <w:rPr>
                <w:rFonts w:ascii="宋体" w:hAnsi="宋体" w:cs="宋体"/>
                <w:color w:val="000000"/>
                <w:kern w:val="0"/>
                <w:sz w:val="24"/>
              </w:rPr>
            </w:pPr>
          </w:p>
        </w:tc>
        <w:tc>
          <w:tcPr>
            <w:tcW w:w="650" w:type="pct"/>
            <w:vAlign w:val="center"/>
          </w:tcPr>
          <w:p w:rsidR="0062660B" w:rsidRDefault="0062660B">
            <w:pPr>
              <w:widowControl/>
              <w:spacing w:line="360" w:lineRule="atLeast"/>
              <w:contextualSpacing/>
              <w:jc w:val="center"/>
              <w:rPr>
                <w:rFonts w:ascii="宋体" w:hAnsi="宋体" w:cs="宋体"/>
                <w:color w:val="000000"/>
                <w:kern w:val="0"/>
                <w:sz w:val="24"/>
              </w:rPr>
            </w:pPr>
          </w:p>
        </w:tc>
        <w:tc>
          <w:tcPr>
            <w:tcW w:w="1452" w:type="pct"/>
            <w:vAlign w:val="center"/>
          </w:tcPr>
          <w:p w:rsidR="0062660B" w:rsidRDefault="0062660B">
            <w:pPr>
              <w:widowControl/>
              <w:spacing w:line="360" w:lineRule="atLeast"/>
              <w:contextualSpacing/>
              <w:jc w:val="left"/>
              <w:rPr>
                <w:rFonts w:ascii="宋体" w:hAnsi="宋体" w:cs="宋体"/>
                <w:color w:val="000000"/>
                <w:kern w:val="0"/>
                <w:sz w:val="24"/>
              </w:rPr>
            </w:pPr>
          </w:p>
        </w:tc>
        <w:tc>
          <w:tcPr>
            <w:tcW w:w="537" w:type="pct"/>
            <w:vAlign w:val="center"/>
          </w:tcPr>
          <w:p w:rsidR="0062660B" w:rsidRDefault="0062660B">
            <w:pPr>
              <w:widowControl/>
              <w:spacing w:line="360" w:lineRule="atLeast"/>
              <w:contextualSpacing/>
              <w:jc w:val="center"/>
              <w:rPr>
                <w:rFonts w:ascii="宋体" w:hAnsi="宋体" w:cs="宋体"/>
                <w:color w:val="000000"/>
                <w:kern w:val="0"/>
                <w:sz w:val="24"/>
              </w:rPr>
            </w:pPr>
          </w:p>
        </w:tc>
      </w:tr>
      <w:tr w:rsidR="0062660B">
        <w:trPr>
          <w:trHeight w:val="284"/>
          <w:jc w:val="center"/>
        </w:trPr>
        <w:tc>
          <w:tcPr>
            <w:tcW w:w="672" w:type="pct"/>
            <w:gridSpan w:val="2"/>
          </w:tcPr>
          <w:p w:rsidR="0062660B" w:rsidRDefault="0062660B">
            <w:pPr>
              <w:spacing w:line="360" w:lineRule="atLeast"/>
              <w:ind w:left="480" w:hangingChars="200" w:hanging="480"/>
              <w:contextualSpacing/>
              <w:rPr>
                <w:rFonts w:ascii="宋体" w:hAnsi="宋体" w:cs="宋体"/>
                <w:dstrike/>
                <w:color w:val="000000"/>
                <w:sz w:val="24"/>
              </w:rPr>
            </w:pPr>
          </w:p>
        </w:tc>
        <w:tc>
          <w:tcPr>
            <w:tcW w:w="4327" w:type="pct"/>
            <w:gridSpan w:val="5"/>
            <w:vAlign w:val="center"/>
          </w:tcPr>
          <w:p w:rsidR="0062660B" w:rsidRDefault="005F1973">
            <w:pPr>
              <w:spacing w:line="360" w:lineRule="atLeast"/>
              <w:ind w:left="480" w:hangingChars="200" w:hanging="480"/>
              <w:contextualSpacing/>
              <w:jc w:val="left"/>
              <w:rPr>
                <w:rFonts w:ascii="宋体" w:hAnsi="宋体" w:cs="宋体"/>
                <w:color w:val="000000"/>
                <w:sz w:val="24"/>
                <w:highlight w:val="yellow"/>
              </w:rPr>
            </w:pPr>
            <w:r>
              <w:rPr>
                <w:rFonts w:ascii="宋体" w:hAnsi="宋体" w:cs="宋体" w:hint="eastAsia"/>
                <w:color w:val="000000"/>
                <w:sz w:val="24"/>
              </w:rPr>
              <w:t>注：此表指标与《钢铁企业绿色高质量发展指数》团体标准(T/CISA044-2020)中表C.1相同，具体填写可参照相关要求。</w:t>
            </w:r>
          </w:p>
        </w:tc>
      </w:tr>
    </w:tbl>
    <w:p w:rsidR="0062660B" w:rsidRDefault="0062660B">
      <w:pPr>
        <w:rPr>
          <w:rFonts w:ascii="宋体" w:hAnsi="宋体"/>
          <w:color w:val="000000"/>
          <w:sz w:val="24"/>
        </w:rPr>
      </w:pPr>
    </w:p>
    <w:p w:rsidR="0062660B" w:rsidRDefault="005F1973">
      <w:pPr>
        <w:jc w:val="center"/>
        <w:rPr>
          <w:rFonts w:eastAsia="黑体" w:cs="黑体"/>
          <w:sz w:val="32"/>
          <w:szCs w:val="32"/>
        </w:rPr>
      </w:pPr>
      <w:r>
        <w:rPr>
          <w:rFonts w:eastAsia="黑体" w:cs="黑体"/>
          <w:sz w:val="32"/>
          <w:szCs w:val="32"/>
        </w:rPr>
        <w:br w:type="page"/>
      </w:r>
    </w:p>
    <w:p w:rsidR="0062660B" w:rsidRDefault="005F1973" w:rsidP="001D65A0">
      <w:pPr>
        <w:spacing w:afterLines="50" w:after="156"/>
        <w:jc w:val="center"/>
        <w:rPr>
          <w:rFonts w:ascii="宋体"/>
          <w:sz w:val="30"/>
          <w:szCs w:val="30"/>
        </w:rPr>
      </w:pPr>
      <w:r>
        <w:rPr>
          <w:rFonts w:eastAsia="黑体" w:cs="黑体" w:hint="eastAsia"/>
          <w:sz w:val="36"/>
          <w:szCs w:val="36"/>
        </w:rPr>
        <w:t>五、附件目录</w:t>
      </w:r>
    </w:p>
    <w:p w:rsidR="0062660B" w:rsidRDefault="005F1973">
      <w:pPr>
        <w:widowControl/>
        <w:spacing w:line="500" w:lineRule="exact"/>
        <w:ind w:firstLineChars="200" w:firstLine="562"/>
        <w:rPr>
          <w:rFonts w:ascii="宋体" w:cs="Arial"/>
          <w:bCs/>
          <w:kern w:val="24"/>
          <w:sz w:val="28"/>
          <w:szCs w:val="28"/>
        </w:rPr>
      </w:pPr>
      <w:r>
        <w:rPr>
          <w:rFonts w:ascii="宋体" w:cs="Arial" w:hint="eastAsia"/>
          <w:b/>
          <w:kern w:val="24"/>
          <w:sz w:val="28"/>
          <w:szCs w:val="28"/>
        </w:rPr>
        <w:t>1.申报企业出具的最近三年(2021年5月至2024年5月)环保符合要求且未发生重大环境事故的承诺材料</w:t>
      </w:r>
    </w:p>
    <w:p w:rsidR="0062660B" w:rsidRDefault="005F1973">
      <w:pPr>
        <w:widowControl/>
        <w:spacing w:line="500" w:lineRule="exact"/>
        <w:ind w:firstLineChars="200" w:firstLine="560"/>
        <w:rPr>
          <w:rFonts w:ascii="宋体" w:cs="Arial"/>
          <w:bCs/>
          <w:kern w:val="24"/>
          <w:sz w:val="28"/>
          <w:szCs w:val="28"/>
        </w:rPr>
      </w:pPr>
      <w:r>
        <w:rPr>
          <w:rFonts w:ascii="宋体" w:cs="Arial"/>
          <w:bCs/>
          <w:kern w:val="24"/>
          <w:sz w:val="28"/>
          <w:szCs w:val="28"/>
        </w:rPr>
        <w:t>企业近三年无重大环保问题的证明</w:t>
      </w:r>
    </w:p>
    <w:p w:rsidR="0062660B" w:rsidRDefault="005F1973">
      <w:pPr>
        <w:widowControl/>
        <w:spacing w:line="500" w:lineRule="exact"/>
        <w:ind w:firstLineChars="200" w:firstLine="562"/>
        <w:rPr>
          <w:rFonts w:ascii="宋体" w:cs="Arial"/>
          <w:bCs/>
          <w:kern w:val="24"/>
          <w:sz w:val="28"/>
          <w:szCs w:val="28"/>
        </w:rPr>
      </w:pPr>
      <w:r>
        <w:rPr>
          <w:rFonts w:ascii="宋体" w:cs="Arial" w:hint="eastAsia"/>
          <w:b/>
          <w:kern w:val="24"/>
          <w:sz w:val="28"/>
          <w:szCs w:val="28"/>
        </w:rPr>
        <w:t>2.企业环境监测、环保产品认证文件</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（1）水监测报告</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（2）气监测报告</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（3）噪声监测报告</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（4）无组织监测报告</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（5）产品检测报告</w:t>
      </w:r>
    </w:p>
    <w:p w:rsidR="0062660B" w:rsidRDefault="005F1973">
      <w:pPr>
        <w:widowControl/>
        <w:spacing w:line="500" w:lineRule="exact"/>
        <w:ind w:firstLineChars="200" w:firstLine="562"/>
        <w:rPr>
          <w:rFonts w:ascii="宋体" w:cs="Arial"/>
          <w:bCs/>
          <w:kern w:val="24"/>
          <w:sz w:val="28"/>
          <w:szCs w:val="28"/>
        </w:rPr>
      </w:pPr>
      <w:r>
        <w:rPr>
          <w:rFonts w:ascii="宋体" w:cs="Arial" w:hint="eastAsia"/>
          <w:b/>
          <w:kern w:val="24"/>
          <w:sz w:val="28"/>
          <w:szCs w:val="28"/>
        </w:rPr>
        <w:t>3.主要支撑性清洁生产技术创造性证明</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（1）烧结机头（球团）烟气袋式除尘技术与应用科技成果评价证书</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（2）实用型专利：一种冷轧酸性废水处理装置</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（3）实用型专利：一种炉前稳定除尘装置</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（4）实用型专利：一种过滤净环水质装置</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（5）实用型专利：一种石灰石-石膏湿法烟气脱硫失效浆液处理装置</w:t>
      </w:r>
    </w:p>
    <w:p w:rsidR="0062660B" w:rsidRDefault="005F1973">
      <w:pPr>
        <w:widowControl/>
        <w:spacing w:line="500" w:lineRule="exact"/>
        <w:ind w:firstLineChars="200" w:firstLine="562"/>
        <w:rPr>
          <w:rFonts w:ascii="宋体" w:cs="Arial"/>
          <w:bCs/>
          <w:kern w:val="24"/>
          <w:sz w:val="28"/>
          <w:szCs w:val="28"/>
        </w:rPr>
      </w:pPr>
      <w:r>
        <w:rPr>
          <w:rFonts w:ascii="宋体" w:cs="Arial" w:hint="eastAsia"/>
          <w:b/>
          <w:kern w:val="24"/>
          <w:sz w:val="28"/>
          <w:szCs w:val="28"/>
        </w:rPr>
        <w:t>4.企业清洁生产影响力、政府及社会认可度的相关证明</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新余市网信办新钢专报</w:t>
      </w:r>
    </w:p>
    <w:p w:rsidR="0062660B" w:rsidRDefault="005F1973">
      <w:pPr>
        <w:widowControl/>
        <w:spacing w:line="500" w:lineRule="exact"/>
        <w:ind w:firstLineChars="200" w:firstLine="562"/>
        <w:rPr>
          <w:rFonts w:ascii="宋体" w:cs="Arial"/>
          <w:bCs/>
          <w:kern w:val="24"/>
          <w:sz w:val="28"/>
          <w:szCs w:val="28"/>
        </w:rPr>
      </w:pPr>
      <w:r>
        <w:rPr>
          <w:rFonts w:ascii="宋体" w:cs="Arial" w:hint="eastAsia"/>
          <w:b/>
          <w:kern w:val="24"/>
          <w:sz w:val="28"/>
          <w:szCs w:val="28"/>
        </w:rPr>
        <w:t>5.其它证明</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（1）环境管理体系认证证书</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（2）能源管理体系认证证书</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（3）职业健康安全管理体系认证证书</w:t>
      </w:r>
    </w:p>
    <w:p w:rsidR="0062660B" w:rsidRDefault="005F1973">
      <w:pPr>
        <w:widowControl/>
        <w:spacing w:line="500" w:lineRule="exact"/>
        <w:ind w:firstLineChars="200" w:firstLine="560"/>
        <w:rPr>
          <w:rFonts w:ascii="宋体" w:cs="Arial"/>
          <w:bCs/>
          <w:kern w:val="24"/>
          <w:sz w:val="28"/>
          <w:szCs w:val="28"/>
        </w:rPr>
      </w:pPr>
      <w:r>
        <w:rPr>
          <w:rFonts w:ascii="宋体" w:cs="Arial" w:hint="eastAsia"/>
          <w:bCs/>
          <w:kern w:val="24"/>
          <w:sz w:val="28"/>
          <w:szCs w:val="28"/>
        </w:rPr>
        <w:t>（4）质量管理体系认证证书</w:t>
      </w:r>
    </w:p>
    <w:p w:rsidR="0062660B" w:rsidRDefault="0062660B">
      <w:pPr>
        <w:pStyle w:val="20"/>
        <w:widowControl/>
        <w:spacing w:after="0" w:line="360" w:lineRule="auto"/>
        <w:ind w:leftChars="0"/>
        <w:rPr>
          <w:sz w:val="24"/>
          <w:szCs w:val="24"/>
        </w:rPr>
      </w:pPr>
    </w:p>
    <w:p w:rsidR="0062660B" w:rsidRDefault="0062660B">
      <w:pPr>
        <w:rPr>
          <w:rFonts w:ascii="宋体"/>
          <w:bCs/>
          <w:sz w:val="30"/>
          <w:szCs w:val="30"/>
        </w:rPr>
      </w:pPr>
    </w:p>
    <w:p w:rsidR="0062660B" w:rsidRDefault="0062660B">
      <w:pPr>
        <w:rPr>
          <w:sz w:val="30"/>
          <w:szCs w:val="30"/>
        </w:rPr>
      </w:pPr>
    </w:p>
    <w:sectPr w:rsidR="0062660B">
      <w:headerReference w:type="default" r:id="rId9"/>
      <w:footerReference w:type="default" r:id="rId10"/>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EF5" w:rsidRDefault="000D5EF5">
      <w:r>
        <w:separator/>
      </w:r>
    </w:p>
  </w:endnote>
  <w:endnote w:type="continuationSeparator" w:id="0">
    <w:p w:rsidR="000D5EF5" w:rsidRDefault="000D5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0B" w:rsidRDefault="005F1973">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0D5EF5">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EF5" w:rsidRDefault="000D5EF5">
      <w:r>
        <w:separator/>
      </w:r>
    </w:p>
  </w:footnote>
  <w:footnote w:type="continuationSeparator" w:id="0">
    <w:p w:rsidR="000D5EF5" w:rsidRDefault="000D5E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0B" w:rsidRDefault="000D5EF5">
    <w:pPr>
      <w:pStyle w:val="a8"/>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97152" o:spid="_x0000_s3116" type="#_x0000_t136" style="position:absolute;left:0;text-align:left;margin-left:419.2pt;margin-top:601.05pt;width:130pt;height:14pt;rotation:-45;z-index:-251613184;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2377609" o:spid="_x0000_s3115" type="#_x0000_t136" style="position:absolute;left:0;text-align:left;margin-left:291.9pt;margin-top:728.35pt;width:130pt;height:14pt;rotation:-45;z-index:-251614208;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1963377" o:spid="_x0000_s3114" type="#_x0000_t136" style="position:absolute;left:0;text-align:left;margin-left:419.2pt;margin-top:395.7pt;width:130pt;height:14pt;rotation:-45;z-index:-251615232;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1571869" o:spid="_x0000_s3113" type="#_x0000_t136" style="position:absolute;left:0;text-align:left;margin-left:291.9pt;margin-top:523pt;width:130pt;height:14pt;rotation:-45;z-index:-251616256;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1386591" o:spid="_x0000_s3112" type="#_x0000_t136" style="position:absolute;left:0;text-align:left;margin-left:164.6pt;margin-top:650.3pt;width:130pt;height:14pt;rotation:-45;z-index:-251617280;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1048679" o:spid="_x0000_s3111" type="#_x0000_t136" style="position:absolute;left:0;text-align:left;margin-left:37.35pt;margin-top:777.55pt;width:130pt;height:14pt;rotation:-45;z-index:-251618304;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0567975" o:spid="_x0000_s3110" type="#_x0000_t136" style="position:absolute;left:0;text-align:left;margin-left:419.2pt;margin-top:190.4pt;width:130pt;height:14pt;rotation:-45;z-index:-251619328;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0421125" o:spid="_x0000_s3109" type="#_x0000_t136" style="position:absolute;left:0;text-align:left;margin-left:291.9pt;margin-top:317.65pt;width:130pt;height:14pt;rotation:-45;z-index:-251620352;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9578018" o:spid="_x0000_s3108" type="#_x0000_t136" style="position:absolute;left:0;text-align:left;margin-left:164.6pt;margin-top:444.95pt;width:130pt;height:14pt;rotation:-45;z-index:-251621376;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9233482" o:spid="_x0000_s3107" type="#_x0000_t136" style="position:absolute;left:0;text-align:left;margin-left:37.35pt;margin-top:572.2pt;width:130pt;height:14pt;rotation:-45;z-index:-251622400;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8539193" o:spid="_x0000_s3106" type="#_x0000_t136" style="position:absolute;left:0;text-align:left;margin-left:-89.95pt;margin-top:699.5pt;width:130pt;height:14pt;rotation:-45;z-index:-251623424;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7741203" o:spid="_x0000_s3105" type="#_x0000_t136" style="position:absolute;left:0;text-align:left;margin-left:419.2pt;margin-top:-14.95pt;width:130pt;height:14pt;rotation:-45;z-index:-251624448;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7102262" o:spid="_x0000_s3104" type="#_x0000_t136" style="position:absolute;left:0;text-align:left;margin-left:291.9pt;margin-top:112.35pt;width:130pt;height:14pt;rotation:-45;z-index:-251625472;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6222081" o:spid="_x0000_s3103" type="#_x0000_t136" style="position:absolute;left:0;text-align:left;margin-left:164.6pt;margin-top:239.6pt;width:130pt;height:14pt;rotation:-45;z-index:-251626496;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5558587" o:spid="_x0000_s3102" type="#_x0000_t136" style="position:absolute;left:0;text-align:left;margin-left:37.35pt;margin-top:366.9pt;width:130pt;height:14pt;rotation:-45;z-index:-251627520;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4690038" o:spid="_x0000_s3101" type="#_x0000_t136" style="position:absolute;left:0;text-align:left;margin-left:-89.95pt;margin-top:494.15pt;width:130pt;height:14pt;rotation:-45;z-index:-251628544;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4553770" o:spid="_x0000_s3100" type="#_x0000_t136" style="position:absolute;left:0;text-align:left;margin-left:291.9pt;margin-top:-93pt;width:130pt;height:14pt;rotation:-45;z-index:-251629568;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3666962" o:spid="_x0000_s3099" type="#_x0000_t136" style="position:absolute;left:0;text-align:left;margin-left:164.6pt;margin-top:34.25pt;width:130pt;height:14pt;rotation:-45;z-index:-251630592;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2773703" o:spid="_x0000_s3098" type="#_x0000_t136" style="position:absolute;left:0;text-align:left;margin-left:37.35pt;margin-top:161.55pt;width:130pt;height:14pt;rotation:-45;z-index:-251631616;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773945" o:spid="_x0000_s3097" type="#_x0000_t136" style="position:absolute;left:0;text-align:left;margin-left:-89.95pt;margin-top:288.85pt;width:130pt;height:14pt;rotation:-45;z-index:-251632640;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1071783" o:spid="_x0000_s3096" type="#_x0000_t136" style="position:absolute;left:0;text-align:left;margin-left:37.35pt;margin-top:-43.8pt;width:130pt;height:14pt;rotation:-45;z-index:-251633664;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226825" o:spid="_x0000_s3095" type="#_x0000_t136" style="position:absolute;left:0;text-align:left;margin-left:-89.95pt;margin-top:83.5pt;width:130pt;height:14pt;rotation:-45;z-index:-251634688;mso-position-horizontal-relative:margin;mso-position-vertical-relative:margin;mso-width-relative:page;mso-height-relative:page" fillcolor="silver" stroked="f">
          <v:fill opacity="19660f"/>
          <v:textpath style="font-family:&quot;Sans Serif&quot;;font-size:14pt" trim="t" fitpath="t" string="X03605   2024-03-12"/>
          <o:lock v:ext="edit" aspectratio="t"/>
          <w10:wrap anchorx="margin" anchory="margin"/>
        </v:shape>
      </w:pict>
    </w:r>
    <w:r>
      <w:pict>
        <v:shape id="PowerPlusWaterMarkObject9253083" o:spid="_x0000_s3073" type="#_x0000_t136" style="position:absolute;left:0;text-align:left;margin-left:419.2pt;margin-top:601.05pt;width:130pt;height:14pt;rotation:-45;z-index:-251635712;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8306538" o:spid="_x0000_s3074" type="#_x0000_t136" style="position:absolute;left:0;text-align:left;margin-left:291.9pt;margin-top:728.35pt;width:130pt;height:14pt;rotation:-45;z-index:-251636736;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8008531" o:spid="_x0000_s3075" type="#_x0000_t136" style="position:absolute;left:0;text-align:left;margin-left:419.2pt;margin-top:395.7pt;width:130pt;height:14pt;rotation:-45;z-index:-251637760;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7043270" o:spid="_x0000_s3076" type="#_x0000_t136" style="position:absolute;left:0;text-align:left;margin-left:291.9pt;margin-top:523pt;width:130pt;height:14pt;rotation:-45;z-index:-251638784;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6329064" o:spid="_x0000_s3077" type="#_x0000_t136" style="position:absolute;left:0;text-align:left;margin-left:164.6pt;margin-top:650.3pt;width:130pt;height:14pt;rotation:-45;z-index:-251639808;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5612088" o:spid="_x0000_s3078" type="#_x0000_t136" style="position:absolute;left:0;text-align:left;margin-left:37.35pt;margin-top:777.55pt;width:130pt;height:14pt;rotation:-45;z-index:-251640832;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5178915" o:spid="_x0000_s3079" type="#_x0000_t136" style="position:absolute;left:0;text-align:left;margin-left:419.2pt;margin-top:190.4pt;width:130pt;height:14pt;rotation:-45;z-index:-251641856;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5006632" o:spid="_x0000_s3080" type="#_x0000_t136" style="position:absolute;left:0;text-align:left;margin-left:291.9pt;margin-top:317.65pt;width:130pt;height:14pt;rotation:-45;z-index:-251642880;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4821691" o:spid="_x0000_s3081" type="#_x0000_t136" style="position:absolute;left:0;text-align:left;margin-left:164.6pt;margin-top:444.95pt;width:130pt;height:14pt;rotation:-45;z-index:-251643904;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4501148" o:spid="_x0000_s3082" type="#_x0000_t136" style="position:absolute;left:0;text-align:left;margin-left:37.35pt;margin-top:572.2pt;width:130pt;height:14pt;rotation:-45;z-index:-251644928;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3900907" o:spid="_x0000_s3083" type="#_x0000_t136" style="position:absolute;left:0;text-align:left;margin-left:-89.95pt;margin-top:699.5pt;width:130pt;height:14pt;rotation:-45;z-index:-251645952;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3643525" o:spid="_x0000_s3084" type="#_x0000_t136" style="position:absolute;left:0;text-align:left;margin-left:419.2pt;margin-top:-14.95pt;width:130pt;height:14pt;rotation:-45;z-index:-251646976;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3520681" o:spid="_x0000_s3085" type="#_x0000_t136" style="position:absolute;left:0;text-align:left;margin-left:291.9pt;margin-top:112.35pt;width:130pt;height:14pt;rotation:-45;z-index:-251648000;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2670927" o:spid="_x0000_s3086" type="#_x0000_t136" style="position:absolute;left:0;text-align:left;margin-left:164.6pt;margin-top:239.6pt;width:130pt;height:14pt;rotation:-45;z-index:-251649024;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2139320" o:spid="_x0000_s3087" type="#_x0000_t136" style="position:absolute;left:0;text-align:left;margin-left:37.35pt;margin-top:366.9pt;width:130pt;height:14pt;rotation:-45;z-index:-251650048;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1954762" o:spid="_x0000_s3088" type="#_x0000_t136" style="position:absolute;left:0;text-align:left;margin-left:-89.95pt;margin-top:494.15pt;width:130pt;height:14pt;rotation:-45;z-index:-251651072;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1902318" o:spid="_x0000_s3089" type="#_x0000_t136" style="position:absolute;left:0;text-align:left;margin-left:291.9pt;margin-top:-93pt;width:130pt;height:14pt;rotation:-45;z-index:-251652096;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1499129" o:spid="_x0000_s3090" type="#_x0000_t136" style="position:absolute;left:0;text-align:left;margin-left:164.6pt;margin-top:34.25pt;width:130pt;height:14pt;rotation:-45;z-index:-251653120;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1427112" o:spid="_x0000_s3091" type="#_x0000_t136" style="position:absolute;left:0;text-align:left;margin-left:37.35pt;margin-top:161.55pt;width:130pt;height:14pt;rotation:-45;z-index:-251654144;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1339307" o:spid="_x0000_s3092" type="#_x0000_t136" style="position:absolute;left:0;text-align:left;margin-left:-89.95pt;margin-top:288.85pt;width:130pt;height:14pt;rotation:-45;z-index:-251655168;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457748" o:spid="_x0000_s3093" type="#_x0000_t136" style="position:absolute;left:0;text-align:left;margin-left:37.35pt;margin-top:-43.8pt;width:130pt;height:14pt;rotation:-45;z-index:-251656192;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r>
      <w:pict>
        <v:shape id="PowerPlusWaterMarkObject341677" o:spid="_x0000_s3094" type="#_x0000_t136" style="position:absolute;left:0;text-align:left;margin-left:-89.95pt;margin-top:83.5pt;width:130pt;height:14pt;rotation:-45;z-index:-251657216;mso-position-horizontal-relative:margin;mso-position-vertical-relative:margin;mso-width-relative:page;mso-height-relative:page" fillcolor="silver" stroked="f">
          <v:fill opacity="19660f"/>
          <v:textpath style="font-family:&quot;Sans Serif&quot;;font-size:14pt" trim="t" fitpath="t" string="049412   2024-02-28"/>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hdrShapeDefaults>
    <o:shapedefaults v:ext="edit" spidmax="3117"/>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ZiOWFkNDU2ODM2ZDY5OGQwODFlODNlN2UyMGZiZDQifQ=="/>
  </w:docVars>
  <w:rsids>
    <w:rsidRoot w:val="00040463"/>
    <w:rsid w:val="9CFA5877"/>
    <w:rsid w:val="9D7F3A61"/>
    <w:rsid w:val="9DBB7C04"/>
    <w:rsid w:val="9DCFC99F"/>
    <w:rsid w:val="9DFB4C1E"/>
    <w:rsid w:val="9F8A6EF3"/>
    <w:rsid w:val="9FF55CA5"/>
    <w:rsid w:val="9FFBA4BA"/>
    <w:rsid w:val="9FFDA157"/>
    <w:rsid w:val="A1F1E2F4"/>
    <w:rsid w:val="A4FC561F"/>
    <w:rsid w:val="A5F7A2E5"/>
    <w:rsid w:val="AFBBB16C"/>
    <w:rsid w:val="AFBF3A17"/>
    <w:rsid w:val="AFEF9376"/>
    <w:rsid w:val="B67CAFDE"/>
    <w:rsid w:val="B6CE8202"/>
    <w:rsid w:val="B6F76BB8"/>
    <w:rsid w:val="B97FEE63"/>
    <w:rsid w:val="B9DE3F4D"/>
    <w:rsid w:val="B9F774DD"/>
    <w:rsid w:val="BB9BB2E1"/>
    <w:rsid w:val="BD85F7B4"/>
    <w:rsid w:val="BD9B7148"/>
    <w:rsid w:val="BDCBA1CE"/>
    <w:rsid w:val="BE9F61B5"/>
    <w:rsid w:val="BEF65F01"/>
    <w:rsid w:val="BF7D6968"/>
    <w:rsid w:val="BF9EEA56"/>
    <w:rsid w:val="BFE70DF6"/>
    <w:rsid w:val="BFFDD7DB"/>
    <w:rsid w:val="C0797917"/>
    <w:rsid w:val="CBFFACD3"/>
    <w:rsid w:val="CFDB89D6"/>
    <w:rsid w:val="CFF5458B"/>
    <w:rsid w:val="D2BF5463"/>
    <w:rsid w:val="D59E7D99"/>
    <w:rsid w:val="D59F06D4"/>
    <w:rsid w:val="D5B715CC"/>
    <w:rsid w:val="D5F24E33"/>
    <w:rsid w:val="D79891B0"/>
    <w:rsid w:val="D7B561D6"/>
    <w:rsid w:val="D7EDC919"/>
    <w:rsid w:val="DD6DAC93"/>
    <w:rsid w:val="DDBAC04D"/>
    <w:rsid w:val="DDFB71B7"/>
    <w:rsid w:val="DE7D3A06"/>
    <w:rsid w:val="DEF7D4AF"/>
    <w:rsid w:val="DEFFA8E4"/>
    <w:rsid w:val="DF5D57E0"/>
    <w:rsid w:val="DF74D818"/>
    <w:rsid w:val="DF9FCA34"/>
    <w:rsid w:val="DFBAB2DA"/>
    <w:rsid w:val="DFCFD5F3"/>
    <w:rsid w:val="DFD328FE"/>
    <w:rsid w:val="DFF32674"/>
    <w:rsid w:val="DFFFB3A4"/>
    <w:rsid w:val="E52F74AE"/>
    <w:rsid w:val="E7CC9B5D"/>
    <w:rsid w:val="E7DF65D7"/>
    <w:rsid w:val="EA77ADEF"/>
    <w:rsid w:val="EBF59C44"/>
    <w:rsid w:val="EBF747AB"/>
    <w:rsid w:val="EDFEE9A6"/>
    <w:rsid w:val="EFABACD1"/>
    <w:rsid w:val="EFFE849D"/>
    <w:rsid w:val="EFFF9A70"/>
    <w:rsid w:val="F2CEFEBE"/>
    <w:rsid w:val="F5CFDB0D"/>
    <w:rsid w:val="F6FF0588"/>
    <w:rsid w:val="F79B2DA0"/>
    <w:rsid w:val="F7BFA8EB"/>
    <w:rsid w:val="F7EF312B"/>
    <w:rsid w:val="F7F970CA"/>
    <w:rsid w:val="F7FD369E"/>
    <w:rsid w:val="F7FE4AA4"/>
    <w:rsid w:val="F9FB09C5"/>
    <w:rsid w:val="FAD68C2B"/>
    <w:rsid w:val="FBBAC490"/>
    <w:rsid w:val="FBDED559"/>
    <w:rsid w:val="FBF94BA7"/>
    <w:rsid w:val="FCED3005"/>
    <w:rsid w:val="FCFE2640"/>
    <w:rsid w:val="FD4D1306"/>
    <w:rsid w:val="FD9FBB9C"/>
    <w:rsid w:val="FDCFF38B"/>
    <w:rsid w:val="FDD6A998"/>
    <w:rsid w:val="FDF1B82E"/>
    <w:rsid w:val="FDFF8E02"/>
    <w:rsid w:val="FE6F7478"/>
    <w:rsid w:val="FE9B986B"/>
    <w:rsid w:val="FE9F0BAA"/>
    <w:rsid w:val="FEB52C83"/>
    <w:rsid w:val="FEBF84A6"/>
    <w:rsid w:val="FEDAD841"/>
    <w:rsid w:val="FEDB75FF"/>
    <w:rsid w:val="FEF2001A"/>
    <w:rsid w:val="FEF6912A"/>
    <w:rsid w:val="FEF6FD4F"/>
    <w:rsid w:val="FEFB6BFE"/>
    <w:rsid w:val="FEFF59AC"/>
    <w:rsid w:val="FF29498A"/>
    <w:rsid w:val="FF3D652C"/>
    <w:rsid w:val="FF3F457E"/>
    <w:rsid w:val="FF3FD428"/>
    <w:rsid w:val="FF5723A1"/>
    <w:rsid w:val="FF77EE25"/>
    <w:rsid w:val="FFBF6C4A"/>
    <w:rsid w:val="FFD0D566"/>
    <w:rsid w:val="FFDE369A"/>
    <w:rsid w:val="FFDF0B59"/>
    <w:rsid w:val="FFDFF393"/>
    <w:rsid w:val="FFE1FC1B"/>
    <w:rsid w:val="FFE62D3A"/>
    <w:rsid w:val="FFED6C35"/>
    <w:rsid w:val="FFEF07D6"/>
    <w:rsid w:val="FFEF431D"/>
    <w:rsid w:val="FFFBCC35"/>
    <w:rsid w:val="FFFC51D7"/>
    <w:rsid w:val="FFFF06A2"/>
    <w:rsid w:val="FFFF396E"/>
    <w:rsid w:val="000044DC"/>
    <w:rsid w:val="00006323"/>
    <w:rsid w:val="00016FB7"/>
    <w:rsid w:val="00040463"/>
    <w:rsid w:val="000579E7"/>
    <w:rsid w:val="00061BD0"/>
    <w:rsid w:val="0008274C"/>
    <w:rsid w:val="000B12F3"/>
    <w:rsid w:val="000D5EF5"/>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D65A0"/>
    <w:rsid w:val="001E73EE"/>
    <w:rsid w:val="001F0C94"/>
    <w:rsid w:val="001F24B6"/>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3D68"/>
    <w:rsid w:val="004E4684"/>
    <w:rsid w:val="00505D9C"/>
    <w:rsid w:val="005265A6"/>
    <w:rsid w:val="00544BF1"/>
    <w:rsid w:val="00545077"/>
    <w:rsid w:val="005574F2"/>
    <w:rsid w:val="00560C3B"/>
    <w:rsid w:val="00583524"/>
    <w:rsid w:val="005B0FC7"/>
    <w:rsid w:val="005B1420"/>
    <w:rsid w:val="005B36AA"/>
    <w:rsid w:val="005B6A37"/>
    <w:rsid w:val="005B727F"/>
    <w:rsid w:val="005C006A"/>
    <w:rsid w:val="005D21D6"/>
    <w:rsid w:val="005D22AA"/>
    <w:rsid w:val="005D68D4"/>
    <w:rsid w:val="005E0EEA"/>
    <w:rsid w:val="005E2273"/>
    <w:rsid w:val="005F1973"/>
    <w:rsid w:val="005F3A44"/>
    <w:rsid w:val="005F4B39"/>
    <w:rsid w:val="006002D7"/>
    <w:rsid w:val="00600BDC"/>
    <w:rsid w:val="00625830"/>
    <w:rsid w:val="0062660B"/>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840C6"/>
    <w:rsid w:val="00B95606"/>
    <w:rsid w:val="00BA298B"/>
    <w:rsid w:val="00BA58F1"/>
    <w:rsid w:val="00BA760E"/>
    <w:rsid w:val="00BE12E9"/>
    <w:rsid w:val="00C10D7D"/>
    <w:rsid w:val="00C149AF"/>
    <w:rsid w:val="00C42E3B"/>
    <w:rsid w:val="00C47761"/>
    <w:rsid w:val="00C54F56"/>
    <w:rsid w:val="00C67B84"/>
    <w:rsid w:val="00C81A18"/>
    <w:rsid w:val="00C9467A"/>
    <w:rsid w:val="00CA5769"/>
    <w:rsid w:val="00CB60A7"/>
    <w:rsid w:val="00CD66A6"/>
    <w:rsid w:val="00CE0920"/>
    <w:rsid w:val="00CE2FB4"/>
    <w:rsid w:val="00D010B1"/>
    <w:rsid w:val="00D073EA"/>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821DC6"/>
    <w:rsid w:val="02184C85"/>
    <w:rsid w:val="03CE9249"/>
    <w:rsid w:val="062B1CFE"/>
    <w:rsid w:val="07BA4A29"/>
    <w:rsid w:val="095A6680"/>
    <w:rsid w:val="0BDD973A"/>
    <w:rsid w:val="0CB1721A"/>
    <w:rsid w:val="0CEB4BF2"/>
    <w:rsid w:val="0DC94AAD"/>
    <w:rsid w:val="0EFD60AD"/>
    <w:rsid w:val="0EFF854F"/>
    <w:rsid w:val="0F4F0483"/>
    <w:rsid w:val="0F8648F6"/>
    <w:rsid w:val="11651569"/>
    <w:rsid w:val="11BA4BA4"/>
    <w:rsid w:val="137F340A"/>
    <w:rsid w:val="167589D9"/>
    <w:rsid w:val="16B95CE9"/>
    <w:rsid w:val="1AD71486"/>
    <w:rsid w:val="1EF971A1"/>
    <w:rsid w:val="1FC7636C"/>
    <w:rsid w:val="1FFA6FC3"/>
    <w:rsid w:val="205253AE"/>
    <w:rsid w:val="212F0883"/>
    <w:rsid w:val="213F18D2"/>
    <w:rsid w:val="219519F6"/>
    <w:rsid w:val="22656FBF"/>
    <w:rsid w:val="24A3209B"/>
    <w:rsid w:val="2BC5737C"/>
    <w:rsid w:val="2D044FA3"/>
    <w:rsid w:val="2EFC7D95"/>
    <w:rsid w:val="2F5515EB"/>
    <w:rsid w:val="2F77C655"/>
    <w:rsid w:val="2FB2DAFB"/>
    <w:rsid w:val="2FFFCBBE"/>
    <w:rsid w:val="34FF502A"/>
    <w:rsid w:val="37E70D98"/>
    <w:rsid w:val="39165E39"/>
    <w:rsid w:val="39DB22EA"/>
    <w:rsid w:val="3B1E0EDE"/>
    <w:rsid w:val="3BDB5BD2"/>
    <w:rsid w:val="3D8F1918"/>
    <w:rsid w:val="3F377C47"/>
    <w:rsid w:val="3F444EEA"/>
    <w:rsid w:val="3F4D9766"/>
    <w:rsid w:val="3F551A3A"/>
    <w:rsid w:val="3F7FAA4A"/>
    <w:rsid w:val="420F2CF3"/>
    <w:rsid w:val="476D8430"/>
    <w:rsid w:val="48FD2A6B"/>
    <w:rsid w:val="4D2FA926"/>
    <w:rsid w:val="4DC465A1"/>
    <w:rsid w:val="4DCEBAC9"/>
    <w:rsid w:val="4DFB1A1A"/>
    <w:rsid w:val="4EFF10AA"/>
    <w:rsid w:val="4EFF9470"/>
    <w:rsid w:val="4F7F1A8F"/>
    <w:rsid w:val="531676A2"/>
    <w:rsid w:val="53B74105"/>
    <w:rsid w:val="53E9FEE9"/>
    <w:rsid w:val="53F54397"/>
    <w:rsid w:val="549414A4"/>
    <w:rsid w:val="54D74270"/>
    <w:rsid w:val="559F41E5"/>
    <w:rsid w:val="559FF91D"/>
    <w:rsid w:val="579DFD7B"/>
    <w:rsid w:val="57DC4F9E"/>
    <w:rsid w:val="58C70D4F"/>
    <w:rsid w:val="5BEF628C"/>
    <w:rsid w:val="5BFF8F92"/>
    <w:rsid w:val="5CAF45AD"/>
    <w:rsid w:val="5DF73FE9"/>
    <w:rsid w:val="5DF7FF0A"/>
    <w:rsid w:val="5E0D72D1"/>
    <w:rsid w:val="5E79F1D1"/>
    <w:rsid w:val="5E96F999"/>
    <w:rsid w:val="5EF7B0E1"/>
    <w:rsid w:val="5F57231D"/>
    <w:rsid w:val="5FBB3F7A"/>
    <w:rsid w:val="5FD7374F"/>
    <w:rsid w:val="5FDF07F0"/>
    <w:rsid w:val="5FF7815B"/>
    <w:rsid w:val="5FFD991F"/>
    <w:rsid w:val="63DE238C"/>
    <w:rsid w:val="63FF0CF8"/>
    <w:rsid w:val="64D741B8"/>
    <w:rsid w:val="67F6E956"/>
    <w:rsid w:val="690C1B6B"/>
    <w:rsid w:val="69274514"/>
    <w:rsid w:val="6A5B4C6E"/>
    <w:rsid w:val="6A735743"/>
    <w:rsid w:val="6ABF9748"/>
    <w:rsid w:val="6AE7AF06"/>
    <w:rsid w:val="6B3E5EB8"/>
    <w:rsid w:val="6B5D0A0B"/>
    <w:rsid w:val="6BFEEAA0"/>
    <w:rsid w:val="6D1F412E"/>
    <w:rsid w:val="6DFF27F9"/>
    <w:rsid w:val="6E7A3E5A"/>
    <w:rsid w:val="6ECEA2AD"/>
    <w:rsid w:val="6EE8765A"/>
    <w:rsid w:val="6EFED4E5"/>
    <w:rsid w:val="6F8F9DC0"/>
    <w:rsid w:val="6FBE2F24"/>
    <w:rsid w:val="6FBE4CBA"/>
    <w:rsid w:val="6FD4323C"/>
    <w:rsid w:val="71E9B15E"/>
    <w:rsid w:val="72E836AA"/>
    <w:rsid w:val="72FBEC03"/>
    <w:rsid w:val="73DFAFEB"/>
    <w:rsid w:val="747DBBE0"/>
    <w:rsid w:val="75D5CBFB"/>
    <w:rsid w:val="75F7CE90"/>
    <w:rsid w:val="75FDBBA2"/>
    <w:rsid w:val="76875B36"/>
    <w:rsid w:val="76FF932A"/>
    <w:rsid w:val="77351985"/>
    <w:rsid w:val="775EDB43"/>
    <w:rsid w:val="77959518"/>
    <w:rsid w:val="77C47C45"/>
    <w:rsid w:val="77DBAA1D"/>
    <w:rsid w:val="77FB7EF6"/>
    <w:rsid w:val="77FF5947"/>
    <w:rsid w:val="79AE07A7"/>
    <w:rsid w:val="79BED503"/>
    <w:rsid w:val="7A721A7E"/>
    <w:rsid w:val="7AC34002"/>
    <w:rsid w:val="7ADF46D2"/>
    <w:rsid w:val="7AFA0590"/>
    <w:rsid w:val="7AFDE6DA"/>
    <w:rsid w:val="7B63B223"/>
    <w:rsid w:val="7BB734BF"/>
    <w:rsid w:val="7BF768E7"/>
    <w:rsid w:val="7D5E0064"/>
    <w:rsid w:val="7D683CC4"/>
    <w:rsid w:val="7DBF68A7"/>
    <w:rsid w:val="7DF03F7A"/>
    <w:rsid w:val="7DF77567"/>
    <w:rsid w:val="7DFFD3D4"/>
    <w:rsid w:val="7F676E8C"/>
    <w:rsid w:val="7F7D4AC0"/>
    <w:rsid w:val="7F7E264D"/>
    <w:rsid w:val="7F7F4B91"/>
    <w:rsid w:val="7F9DD1AB"/>
    <w:rsid w:val="7FAA6609"/>
    <w:rsid w:val="7FBBFE26"/>
    <w:rsid w:val="7FBE96AF"/>
    <w:rsid w:val="7FBF5BBF"/>
    <w:rsid w:val="7FCFC883"/>
    <w:rsid w:val="7FF434A0"/>
    <w:rsid w:val="7FF4A84F"/>
    <w:rsid w:val="7FFBD566"/>
    <w:rsid w:val="7FFCB66B"/>
    <w:rsid w:val="7FFD5027"/>
    <w:rsid w:val="7FFE80A5"/>
    <w:rsid w:val="7FFF6CF2"/>
    <w:rsid w:val="7FFFD4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6"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qFormat="1"/>
    <w:lsdException w:name="annotation tex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qFormat="1"/>
    <w:lsdException w:name="Subtitle" w:locked="1" w:qFormat="1"/>
    <w:lsdException w:name="Body Text Indent 2"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locked/>
    <w:pPr>
      <w:keepNext/>
      <w:keepLines/>
      <w:spacing w:before="260" w:after="260" w:line="415" w:lineRule="auto"/>
      <w:outlineLvl w:val="1"/>
    </w:pPr>
    <w:rPr>
      <w:rFonts w:ascii="Arial" w:hAnsi="Arial" w:cs="Arial"/>
      <w:sz w:val="32"/>
      <w:szCs w:val="32"/>
    </w:rPr>
  </w:style>
  <w:style w:type="paragraph" w:styleId="3">
    <w:name w:val="heading 3"/>
    <w:basedOn w:val="a"/>
    <w:next w:val="a"/>
    <w:semiHidden/>
    <w:unhideWhenUsed/>
    <w:qFormat/>
    <w:locked/>
    <w:pPr>
      <w:keepNext/>
      <w:keepLines/>
      <w:spacing w:before="260" w:after="260" w:line="410"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6"/>
    <w:qFormat/>
    <w:pPr>
      <w:ind w:firstLineChars="200" w:firstLine="200"/>
    </w:pPr>
  </w:style>
  <w:style w:type="paragraph" w:styleId="6">
    <w:name w:val="index 6"/>
    <w:basedOn w:val="a"/>
    <w:next w:val="a"/>
    <w:qFormat/>
    <w:pPr>
      <w:ind w:left="2100"/>
    </w:pPr>
  </w:style>
  <w:style w:type="paragraph" w:styleId="a4">
    <w:name w:val="annotation text"/>
    <w:basedOn w:val="a"/>
    <w:qFormat/>
    <w:pPr>
      <w:jc w:val="left"/>
    </w:pPr>
  </w:style>
  <w:style w:type="paragraph" w:styleId="a5">
    <w:name w:val="Body Text"/>
    <w:basedOn w:val="a"/>
    <w:qFormat/>
    <w:pPr>
      <w:jc w:val="center"/>
    </w:pPr>
    <w:rPr>
      <w:szCs w:val="20"/>
    </w:rPr>
  </w:style>
  <w:style w:type="paragraph" w:styleId="20">
    <w:name w:val="Body Text Indent 2"/>
    <w:basedOn w:val="a"/>
    <w:qFormat/>
    <w:pPr>
      <w:spacing w:after="120" w:line="480" w:lineRule="auto"/>
      <w:ind w:leftChars="200" w:left="420"/>
    </w:pPr>
    <w:rPr>
      <w:szCs w:val="21"/>
    </w:rPr>
  </w:style>
  <w:style w:type="paragraph" w:styleId="a6">
    <w:name w:val="Balloon Text"/>
    <w:basedOn w:val="a"/>
    <w:link w:val="Char"/>
    <w:qFormat/>
    <w:rPr>
      <w:sz w:val="18"/>
      <w:szCs w:val="18"/>
    </w:rPr>
  </w:style>
  <w:style w:type="paragraph" w:styleId="a7">
    <w:name w:val="footer"/>
    <w:basedOn w:val="a"/>
    <w:link w:val="Char0"/>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pPr>
      <w:widowControl/>
      <w:spacing w:beforeAutospacing="1" w:afterAutospacing="1"/>
      <w:jc w:val="left"/>
    </w:pPr>
    <w:rPr>
      <w:rFonts w:ascii="宋体" w:hAnsi="宋体"/>
      <w:kern w:val="0"/>
      <w:sz w:val="24"/>
    </w:rPr>
  </w:style>
  <w:style w:type="character" w:customStyle="1" w:styleId="Char">
    <w:name w:val="批注框文本 Char"/>
    <w:basedOn w:val="a0"/>
    <w:link w:val="a6"/>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8"/>
    <w:qFormat/>
    <w:rPr>
      <w:kern w:val="2"/>
      <w:sz w:val="18"/>
      <w:szCs w:val="18"/>
    </w:rPr>
  </w:style>
  <w:style w:type="character" w:customStyle="1" w:styleId="Char0">
    <w:name w:val="页脚 Char"/>
    <w:basedOn w:val="a0"/>
    <w:link w:val="a7"/>
    <w:qFormat/>
    <w:rPr>
      <w:kern w:val="2"/>
      <w:sz w:val="18"/>
      <w:szCs w:val="18"/>
    </w:rPr>
  </w:style>
  <w:style w:type="character" w:customStyle="1" w:styleId="1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1">
    <w:name w:val="列出段落1"/>
    <w:basedOn w:val="a"/>
    <w:qFormat/>
    <w:pPr>
      <w:autoSpaceDE w:val="0"/>
      <w:autoSpaceDN w:val="0"/>
      <w:ind w:left="168" w:right="244" w:firstLine="631"/>
      <w:jc w:val="left"/>
    </w:pPr>
    <w:rPr>
      <w:rFonts w:ascii="宋体" w:hint="eastAsia"/>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40"/>
    <customShpInfo spid="_x0000_s4139"/>
    <customShpInfo spid="_x0000_s4138"/>
    <customShpInfo spid="_x0000_s4137"/>
    <customShpInfo spid="_x0000_s4136"/>
    <customShpInfo spid="_x0000_s4135"/>
    <customShpInfo spid="_x0000_s4134"/>
    <customShpInfo spid="_x0000_s4133"/>
    <customShpInfo spid="_x0000_s4132"/>
    <customShpInfo spid="_x0000_s4131"/>
    <customShpInfo spid="_x0000_s4130"/>
    <customShpInfo spid="_x0000_s4129"/>
    <customShpInfo spid="_x0000_s4128"/>
    <customShpInfo spid="_x0000_s4127"/>
    <customShpInfo spid="_x0000_s4126"/>
    <customShpInfo spid="_x0000_s4125"/>
    <customShpInfo spid="_x0000_s4124"/>
    <customShpInfo spid="_x0000_s4123"/>
    <customShpInfo spid="_x0000_s4122"/>
    <customShpInfo spid="_x0000_s4121"/>
    <customShpInfo spid="_x0000_s4120"/>
    <customShpInfo spid="_x0000_s4119"/>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114"/>
    <customShpInfo spid="_x0000_s4115"/>
    <customShpInfo spid="_x0000_s4116"/>
    <customShpInfo spid="_x0000_s4117"/>
    <customShpInfo spid="_x0000_s411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2056</Words>
  <Characters>11725</Characters>
  <Application>Microsoft Office Word</Application>
  <DocSecurity>0</DocSecurity>
  <Lines>97</Lines>
  <Paragraphs>27</Paragraphs>
  <ScaleCrop>false</ScaleCrop>
  <Company>Sky123.Org</Company>
  <LinksUpToDate>false</LinksUpToDate>
  <CharactersWithSpaces>13754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4</cp:revision>
  <cp:lastPrinted>2024-06-13T05:53:00Z</cp:lastPrinted>
  <dcterms:created xsi:type="dcterms:W3CDTF">2020-08-24T03:04:00Z</dcterms:created>
  <dcterms:modified xsi:type="dcterms:W3CDTF">2024-08-23T08:27:00Z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0D7F41C53CCD49738F95A076E04C365A_12</vt:lpwstr>
  </property>
</Properties>
</file>