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321681">
      <w:pPr>
        <w:jc w:val="center"/>
        <w:rPr>
          <w:b/>
          <w:sz w:val="28"/>
          <w:szCs w:val="28"/>
        </w:rPr>
      </w:pPr>
      <w:bookmarkStart w:id="0" w:name="_GoBack"/>
      <w:bookmarkEnd w:id="0"/>
      <w:r>
        <w:rPr>
          <w:rFonts w:hint="eastAsia"/>
          <w:b/>
          <w:snapToGrid w:val="0"/>
          <w:kern w:val="0"/>
          <w:sz w:val="30"/>
          <w:szCs w:val="30"/>
        </w:rPr>
        <w:t>公开询比评审规则（</w:t>
      </w:r>
      <w:r>
        <w:rPr>
          <w:rFonts w:hint="eastAsia"/>
          <w:snapToGrid w:val="0"/>
          <w:kern w:val="0"/>
          <w:sz w:val="30"/>
          <w:szCs w:val="30"/>
        </w:rPr>
        <w:t>2家分量6：4分 有备案</w:t>
      </w:r>
      <w:r>
        <w:rPr>
          <w:rFonts w:hint="eastAsia"/>
          <w:b/>
          <w:snapToGrid w:val="0"/>
          <w:kern w:val="0"/>
          <w:sz w:val="30"/>
          <w:szCs w:val="30"/>
        </w:rPr>
        <w:t>）</w:t>
      </w:r>
    </w:p>
    <w:p w14:paraId="11C1584C">
      <w:pPr>
        <w:spacing w:line="360" w:lineRule="auto"/>
        <w:rPr>
          <w:rFonts w:ascii="宋体" w:hAnsi="宋体" w:eastAsia="宋体" w:cs="宋体"/>
          <w:b/>
          <w:bCs/>
          <w:snapToGrid w:val="0"/>
          <w:kern w:val="10"/>
          <w:sz w:val="24"/>
          <w:szCs w:val="24"/>
        </w:rPr>
      </w:pPr>
    </w:p>
    <w:p w14:paraId="2E9738ED">
      <w:pPr>
        <w:spacing w:line="360" w:lineRule="auto"/>
        <w:ind w:firstLine="482" w:firstLineChars="200"/>
        <w:rPr>
          <w:rFonts w:ascii="宋体" w:hAnsi="宋体" w:eastAsia="宋体" w:cs="宋体"/>
          <w:b/>
          <w:bCs/>
          <w:snapToGrid w:val="0"/>
          <w:kern w:val="10"/>
          <w:sz w:val="24"/>
          <w:szCs w:val="24"/>
        </w:rPr>
      </w:pPr>
      <w:r>
        <w:rPr>
          <w:rFonts w:hint="eastAsia" w:ascii="宋体" w:hAnsi="宋体" w:eastAsia="宋体" w:cs="宋体"/>
          <w:b/>
          <w:bCs/>
          <w:snapToGrid w:val="0"/>
          <w:kern w:val="10"/>
          <w:sz w:val="24"/>
          <w:szCs w:val="24"/>
        </w:rPr>
        <w:t>一、招标要求</w:t>
      </w:r>
    </w:p>
    <w:p w14:paraId="28EAB5DA">
      <w:pPr>
        <w:spacing w:line="360" w:lineRule="auto"/>
        <w:ind w:firstLine="480" w:firstLineChars="200"/>
        <w:rPr>
          <w:rFonts w:ascii="宋体" w:hAnsi="宋体" w:eastAsia="宋体" w:cs="宋体"/>
          <w:snapToGrid w:val="0"/>
          <w:kern w:val="10"/>
          <w:sz w:val="24"/>
          <w:szCs w:val="24"/>
        </w:rPr>
      </w:pPr>
      <w:r>
        <w:rPr>
          <w:rFonts w:hint="eastAsia" w:ascii="宋体" w:hAnsi="宋体" w:eastAsia="宋体" w:cs="宋体"/>
          <w:snapToGrid w:val="0"/>
          <w:kern w:val="10"/>
          <w:sz w:val="24"/>
          <w:szCs w:val="24"/>
        </w:rPr>
        <w:t xml:space="preserve">各投标单位进行网上投标时，请认真查看招标文件内容及附件等所有资料后再报价，一旦报价，即表明投标单位已确认了该标书所有条款及附件内所有内容，一切责任由投标单位自负。  </w:t>
      </w:r>
    </w:p>
    <w:p w14:paraId="6C9B2483">
      <w:pPr>
        <w:spacing w:line="360" w:lineRule="auto"/>
        <w:ind w:firstLine="480" w:firstLineChars="200"/>
        <w:rPr>
          <w:rFonts w:ascii="宋体" w:hAnsi="宋体" w:eastAsia="宋体" w:cs="Arial"/>
          <w:bCs/>
          <w:kern w:val="0"/>
          <w:sz w:val="24"/>
          <w:szCs w:val="24"/>
        </w:rPr>
      </w:pPr>
      <w:r>
        <w:rPr>
          <w:rFonts w:hint="eastAsia" w:ascii="宋体" w:hAnsi="宋体" w:eastAsia="宋体" w:cs="宋体"/>
          <w:snapToGrid w:val="0"/>
          <w:kern w:val="10"/>
          <w:sz w:val="24"/>
          <w:szCs w:val="24"/>
        </w:rPr>
        <w:t>二、</w:t>
      </w:r>
      <w:r>
        <w:rPr>
          <w:rFonts w:hint="eastAsia" w:ascii="宋体" w:hAnsi="宋体" w:eastAsia="宋体" w:cs="宋体"/>
          <w:b/>
          <w:bCs/>
          <w:snapToGrid w:val="0"/>
          <w:kern w:val="10"/>
          <w:sz w:val="24"/>
          <w:szCs w:val="24"/>
        </w:rPr>
        <w:t>评审规则</w:t>
      </w:r>
    </w:p>
    <w:p w14:paraId="711BA6D1">
      <w:pPr>
        <w:spacing w:line="360" w:lineRule="auto"/>
        <w:ind w:firstLine="240" w:firstLineChars="100"/>
        <w:rPr>
          <w:rFonts w:ascii="宋体" w:hAnsi="宋体" w:cs="宋体"/>
          <w:snapToGrid w:val="0"/>
          <w:kern w:val="10"/>
          <w:sz w:val="24"/>
        </w:rPr>
      </w:pPr>
      <w:r>
        <w:rPr>
          <w:rFonts w:hint="eastAsia" w:ascii="宋体" w:hAnsi="宋体" w:cs="宋体"/>
          <w:snapToGrid w:val="0"/>
          <w:kern w:val="10"/>
          <w:sz w:val="24"/>
        </w:rPr>
        <w:t>（一）本标设有预测价（单价），预测价作为评审的重要参考。</w:t>
      </w:r>
    </w:p>
    <w:p w14:paraId="7C5B9DBF">
      <w:pPr>
        <w:spacing w:line="360" w:lineRule="auto"/>
        <w:ind w:left="479" w:leftChars="114" w:hanging="240" w:hangingChars="100"/>
        <w:rPr>
          <w:rFonts w:ascii="宋体" w:hAnsi="宋体" w:cs="宋体"/>
          <w:snapToGrid w:val="0"/>
          <w:kern w:val="10"/>
          <w:sz w:val="24"/>
        </w:rPr>
      </w:pPr>
      <w:r>
        <w:rPr>
          <w:rFonts w:hint="eastAsia" w:ascii="宋体" w:hAnsi="宋体" w:cs="宋体"/>
          <w:snapToGrid w:val="0"/>
          <w:kern w:val="10"/>
          <w:sz w:val="24"/>
        </w:rPr>
        <w:t>（二）因保供需要，评标委员会按经评审的最低投标价法推荐2名中标候选人（其中新进供应商≤1名）</w:t>
      </w:r>
    </w:p>
    <w:p w14:paraId="3F6AAC80">
      <w:pPr>
        <w:spacing w:line="360" w:lineRule="auto"/>
        <w:ind w:firstLine="241" w:firstLineChars="100"/>
        <w:rPr>
          <w:rFonts w:ascii="宋体" w:hAnsi="宋体" w:cs="宋体"/>
          <w:b/>
          <w:snapToGrid w:val="0"/>
          <w:kern w:val="10"/>
          <w:sz w:val="24"/>
        </w:rPr>
      </w:pPr>
      <w:r>
        <w:rPr>
          <w:rFonts w:hint="eastAsia" w:ascii="宋体" w:hAnsi="宋体" w:cs="宋体"/>
          <w:b/>
          <w:snapToGrid w:val="0"/>
          <w:kern w:val="10"/>
          <w:sz w:val="24"/>
        </w:rPr>
        <w:t>（三）成交原则：</w:t>
      </w:r>
    </w:p>
    <w:p w14:paraId="166AD672">
      <w:pPr>
        <w:spacing w:line="360" w:lineRule="auto"/>
        <w:ind w:firstLine="480" w:firstLineChars="200"/>
        <w:rPr>
          <w:rFonts w:ascii="宋体" w:hAnsi="宋体" w:cs="宋体"/>
          <w:snapToGrid w:val="0"/>
          <w:kern w:val="10"/>
          <w:sz w:val="24"/>
        </w:rPr>
      </w:pPr>
      <w:r>
        <w:rPr>
          <w:rFonts w:hint="eastAsia" w:ascii="宋体" w:hAnsi="宋体" w:cs="宋体"/>
          <w:snapToGrid w:val="0"/>
          <w:kern w:val="10"/>
          <w:sz w:val="24"/>
        </w:rPr>
        <w:t>1、原有有效响应供应商的响应单价最低时：</w:t>
      </w:r>
    </w:p>
    <w:p w14:paraId="6B896F71">
      <w:pPr>
        <w:spacing w:line="360" w:lineRule="auto"/>
        <w:ind w:firstLine="480" w:firstLineChars="200"/>
        <w:rPr>
          <w:rFonts w:ascii="宋体" w:hAnsi="宋体" w:cs="宋体"/>
          <w:snapToGrid w:val="0"/>
          <w:kern w:val="10"/>
          <w:sz w:val="24"/>
        </w:rPr>
      </w:pPr>
      <w:r>
        <w:rPr>
          <w:rFonts w:hint="eastAsia" w:ascii="宋体" w:hAnsi="宋体" w:cs="宋体"/>
          <w:snapToGrid w:val="0"/>
          <w:kern w:val="10"/>
          <w:sz w:val="24"/>
        </w:rPr>
        <w:t>（1）若单价不高于预测价，直接拟成交，拟分量60%；余量40%按报价由低到高排序与投标方依序进行跟价确认，跟价者推荐成交，不跟价者淘汰。后续投标方均不跟价（单价），原有有效响应最低报价供应商可成交数量100%，不足部分流标。</w:t>
      </w:r>
    </w:p>
    <w:p w14:paraId="19679A45">
      <w:pPr>
        <w:spacing w:line="360" w:lineRule="auto"/>
        <w:ind w:firstLine="480" w:firstLineChars="200"/>
        <w:rPr>
          <w:rFonts w:ascii="宋体" w:hAnsi="宋体" w:cs="宋体"/>
          <w:snapToGrid w:val="0"/>
          <w:kern w:val="10"/>
          <w:sz w:val="24"/>
        </w:rPr>
      </w:pPr>
      <w:r>
        <w:rPr>
          <w:rFonts w:hint="eastAsia" w:ascii="宋体" w:hAnsi="宋体" w:cs="宋体"/>
          <w:snapToGrid w:val="0"/>
          <w:kern w:val="10"/>
          <w:sz w:val="24"/>
        </w:rPr>
        <w:t>（2）若单价均高于预测价，要求投标最低的有效响应供应商进行优惠让利，如让利后低于预测价，直接拟成交总量的60%；余量40%按报价由低到高排序与后续投标方依序进行跟价确认，跟价者推荐成交，不跟价者淘汰。如后续投标方均不跟价（单价），原有有效响应最低报价供应商可成交数量100%，不足部分流标。</w:t>
      </w:r>
    </w:p>
    <w:p w14:paraId="74B6CF04">
      <w:pPr>
        <w:spacing w:line="360" w:lineRule="auto"/>
        <w:ind w:firstLine="480" w:firstLineChars="200"/>
        <w:rPr>
          <w:rFonts w:ascii="宋体" w:hAnsi="宋体" w:cs="宋体"/>
          <w:snapToGrid w:val="0"/>
          <w:kern w:val="10"/>
          <w:sz w:val="24"/>
        </w:rPr>
      </w:pPr>
      <w:r>
        <w:rPr>
          <w:rFonts w:hint="eastAsia" w:ascii="宋体" w:hAnsi="宋体" w:cs="宋体"/>
          <w:snapToGrid w:val="0"/>
          <w:kern w:val="10"/>
          <w:sz w:val="24"/>
        </w:rPr>
        <w:t>如让利后报价仍高于预测价，原有有效响应最低报价供应商按总量的60%进行评审，余量40%按报价由低到高排序与投标方依序进行跟价确认，确认是否跟价。后续投标方均不跟价（单价），原有有效响应最低报价供应商可按数量100%进行评审,不足部分流标。评审委员会给出最终结果排序，委托方确定。</w:t>
      </w:r>
    </w:p>
    <w:p w14:paraId="463F2346">
      <w:pPr>
        <w:spacing w:line="360" w:lineRule="auto"/>
        <w:ind w:firstLine="480" w:firstLineChars="200"/>
        <w:rPr>
          <w:rFonts w:ascii="宋体" w:hAnsi="宋体" w:cs="宋体"/>
          <w:snapToGrid w:val="0"/>
          <w:kern w:val="10"/>
          <w:sz w:val="24"/>
        </w:rPr>
      </w:pPr>
      <w:r>
        <w:rPr>
          <w:rFonts w:hint="eastAsia" w:ascii="宋体" w:hAnsi="宋体" w:cs="宋体"/>
          <w:snapToGrid w:val="0"/>
          <w:kern w:val="10"/>
          <w:sz w:val="24"/>
        </w:rPr>
        <w:t>2、新进有效响应供应商的响应单价最低时：</w:t>
      </w:r>
    </w:p>
    <w:p w14:paraId="68B24C7E">
      <w:pPr>
        <w:spacing w:line="360" w:lineRule="auto"/>
        <w:ind w:firstLine="480" w:firstLineChars="200"/>
        <w:rPr>
          <w:rFonts w:ascii="宋体" w:hAnsi="宋体" w:cs="宋体"/>
          <w:snapToGrid w:val="0"/>
          <w:kern w:val="10"/>
          <w:sz w:val="24"/>
        </w:rPr>
      </w:pPr>
      <w:r>
        <w:rPr>
          <w:rFonts w:hint="eastAsia" w:ascii="宋体" w:hAnsi="宋体" w:cs="宋体"/>
          <w:snapToGrid w:val="0"/>
          <w:kern w:val="10"/>
          <w:sz w:val="24"/>
        </w:rPr>
        <w:t>（1）新进有效响应供应商单价不高于预测价，直接拟成交，响应报价为拟成交价，拟分量60%，余量40%按评审总价从低到高依次向后续原有有效响应原有供应商进行跟价确认，如跟价，则拟分量40%；如后续投标方均不跟价（单价），协商后的余量再与最低拟成交单位协商，拟成交单位可成交数量</w:t>
      </w:r>
      <w:r>
        <w:rPr>
          <w:rFonts w:ascii="宋体" w:hAnsi="宋体" w:cs="宋体"/>
          <w:snapToGrid w:val="0"/>
          <w:kern w:val="10"/>
          <w:sz w:val="24"/>
        </w:rPr>
        <w:t>100%</w:t>
      </w:r>
      <w:r>
        <w:rPr>
          <w:rFonts w:hint="eastAsia" w:ascii="宋体" w:hAnsi="宋体" w:cs="宋体"/>
          <w:snapToGrid w:val="0"/>
          <w:kern w:val="10"/>
          <w:sz w:val="24"/>
        </w:rPr>
        <w:t>，不足部分流标。</w:t>
      </w:r>
    </w:p>
    <w:p w14:paraId="656ED09B">
      <w:pPr>
        <w:spacing w:line="360" w:lineRule="auto"/>
        <w:ind w:firstLine="480" w:firstLineChars="200"/>
        <w:jc w:val="left"/>
        <w:rPr>
          <w:rFonts w:hint="eastAsia" w:ascii="宋体" w:hAnsi="宋体" w:cs="宋体"/>
          <w:snapToGrid w:val="0"/>
          <w:kern w:val="10"/>
          <w:sz w:val="24"/>
          <w:lang w:val="en-US" w:eastAsia="zh-CN"/>
        </w:rPr>
      </w:pPr>
      <w:r>
        <w:rPr>
          <w:rFonts w:hint="eastAsia" w:ascii="宋体" w:hAnsi="宋体" w:cs="宋体"/>
          <w:snapToGrid w:val="0"/>
          <w:kern w:val="10"/>
          <w:sz w:val="24"/>
        </w:rPr>
        <w:t>（2）新进有效响应供应商单价高于预测价时，要求新进有效响应供应商进行优惠让利，如让利后低于预测价，直接拟成交，分量60%，余量40%按评审总价从低到高依次向原有有效响应原有供应商进行跟价确认，如跟进拟成交价，则拟分量40%，如后续投标方均不跟价（单价），协商后的余量再与最低拟成交单位协商，拟成交单位可成交数量100%，不足部分流标</w:t>
      </w:r>
      <w:r>
        <w:rPr>
          <w:rFonts w:hint="eastAsia" w:ascii="宋体" w:hAnsi="宋体" w:cs="宋体"/>
          <w:snapToGrid w:val="0"/>
          <w:kern w:val="10"/>
          <w:sz w:val="24"/>
          <w:lang w:eastAsia="zh-CN"/>
        </w:rPr>
        <w:t>。</w:t>
      </w:r>
      <w:r>
        <w:rPr>
          <w:rFonts w:hint="eastAsia" w:ascii="宋体" w:hAnsi="宋体" w:cs="宋体"/>
          <w:snapToGrid w:val="0"/>
          <w:kern w:val="10"/>
          <w:sz w:val="24"/>
          <w:lang w:val="en-US" w:eastAsia="zh-CN"/>
        </w:rPr>
        <w:t xml:space="preserve">              </w:t>
      </w:r>
    </w:p>
    <w:p w14:paraId="680E8642">
      <w:pPr>
        <w:spacing w:line="360" w:lineRule="auto"/>
        <w:ind w:firstLine="480" w:firstLineChars="200"/>
        <w:jc w:val="left"/>
        <w:rPr>
          <w:rFonts w:ascii="宋体" w:hAnsi="宋体" w:cs="宋体"/>
          <w:snapToGrid w:val="0"/>
          <w:kern w:val="10"/>
          <w:sz w:val="24"/>
        </w:rPr>
      </w:pPr>
      <w:r>
        <w:rPr>
          <w:rFonts w:hint="eastAsia" w:ascii="宋体" w:hAnsi="宋体" w:cs="宋体"/>
          <w:snapToGrid w:val="0"/>
          <w:kern w:val="10"/>
          <w:sz w:val="24"/>
        </w:rPr>
        <w:t>报价最低新进有效响应供应商如让利后报价仍高于预测价，按总量60%进行评审，余量40%按评审总价从低到高依次向后续原有有效响应原有供应商进行跟价确认，如跟价，则拟分量40%，如后续投标方均不跟价（单价），协商后的余量再与最低有效报价单位协商，其评审数量可为100%，不足部分流标,由评审委员会给出评审结果，委托方确定。</w:t>
      </w:r>
    </w:p>
    <w:p w14:paraId="54607A18">
      <w:pPr>
        <w:spacing w:line="360" w:lineRule="auto"/>
        <w:ind w:firstLine="480" w:firstLineChars="200"/>
        <w:rPr>
          <w:rFonts w:ascii="宋体" w:hAnsi="宋体" w:cs="宋体"/>
          <w:snapToGrid w:val="0"/>
          <w:kern w:val="10"/>
          <w:sz w:val="24"/>
        </w:rPr>
      </w:pPr>
      <w:r>
        <w:rPr>
          <w:rFonts w:hint="eastAsia" w:ascii="宋体" w:hAnsi="宋体" w:cs="宋体"/>
          <w:snapToGrid w:val="0"/>
          <w:kern w:val="10"/>
          <w:sz w:val="24"/>
        </w:rPr>
        <w:t>3、若到报价截止时间为止，递交响应性文件的供应商为2家或符合资格条件的供应商仅为2家的，则转为公开单轮谈判采购。</w:t>
      </w:r>
    </w:p>
    <w:p w14:paraId="45BFB350">
      <w:pPr>
        <w:spacing w:line="360" w:lineRule="auto"/>
        <w:ind w:firstLine="480" w:firstLineChars="200"/>
        <w:rPr>
          <w:rFonts w:hint="eastAsia" w:ascii="宋体" w:hAnsi="宋体" w:cs="宋体"/>
          <w:snapToGrid w:val="0"/>
          <w:kern w:val="10"/>
          <w:sz w:val="24"/>
        </w:rPr>
      </w:pPr>
      <w:r>
        <w:rPr>
          <w:rFonts w:hint="eastAsia" w:ascii="宋体" w:hAnsi="宋体" w:cs="宋体"/>
          <w:snapToGrid w:val="0"/>
          <w:kern w:val="10"/>
          <w:sz w:val="24"/>
        </w:rPr>
        <w:t>公开单轮谈判原则：比照公开询比评审原则执行；谈判中后次报价不得高于前次报价。</w:t>
      </w:r>
    </w:p>
    <w:p w14:paraId="121B05E0">
      <w:pPr>
        <w:spacing w:line="360" w:lineRule="auto"/>
        <w:ind w:firstLine="480" w:firstLineChars="200"/>
        <w:rPr>
          <w:rFonts w:hint="eastAsia" w:ascii="宋体" w:hAnsi="宋体" w:cs="宋体"/>
          <w:snapToGrid w:val="0"/>
          <w:kern w:val="10"/>
          <w:sz w:val="24"/>
          <w:lang w:val="en-US" w:eastAsia="zh-CN"/>
        </w:rPr>
      </w:pPr>
      <w:r>
        <w:rPr>
          <w:rFonts w:hint="eastAsia" w:ascii="宋体" w:hAnsi="宋体" w:cs="宋体"/>
          <w:snapToGrid w:val="0"/>
          <w:kern w:val="10"/>
          <w:sz w:val="24"/>
        </w:rPr>
        <w:t>4、若有两家及两家以上响应供应商有效报价最低且价格相等时，本项目转为</w:t>
      </w:r>
      <w:r>
        <w:rPr>
          <w:rFonts w:hint="eastAsia" w:ascii="宋体" w:hAnsi="宋体" w:cs="宋体"/>
          <w:snapToGrid w:val="0"/>
          <w:kern w:val="10"/>
          <w:sz w:val="24"/>
          <w:lang w:val="en-US" w:eastAsia="zh-CN"/>
        </w:rPr>
        <w:t>公开单轮谈判采购</w:t>
      </w:r>
      <w:r>
        <w:rPr>
          <w:rFonts w:hint="eastAsia" w:ascii="宋体" w:hAnsi="宋体" w:cs="宋体"/>
          <w:snapToGrid w:val="0"/>
          <w:kern w:val="10"/>
          <w:sz w:val="24"/>
        </w:rPr>
        <w:t>，谈判规则：与有效报价最低的供应商进行单轮谈判，价格最低者成交。若</w:t>
      </w:r>
      <w:r>
        <w:rPr>
          <w:rFonts w:hint="eastAsia" w:ascii="宋体" w:hAnsi="宋体" w:cs="宋体"/>
          <w:snapToGrid w:val="0"/>
          <w:kern w:val="10"/>
          <w:sz w:val="24"/>
          <w:lang w:val="en-US" w:eastAsia="zh-CN"/>
        </w:rPr>
        <w:t>单轮谈判后仍有</w:t>
      </w:r>
      <w:r>
        <w:rPr>
          <w:rFonts w:hint="eastAsia" w:ascii="宋体" w:hAnsi="宋体" w:cs="宋体"/>
          <w:snapToGrid w:val="0"/>
          <w:kern w:val="10"/>
          <w:sz w:val="24"/>
        </w:rPr>
        <w:t>价格相等</w:t>
      </w:r>
      <w:r>
        <w:rPr>
          <w:rFonts w:hint="eastAsia" w:ascii="宋体" w:hAnsi="宋体" w:cs="宋体"/>
          <w:snapToGrid w:val="0"/>
          <w:kern w:val="10"/>
          <w:sz w:val="24"/>
          <w:lang w:val="en-US" w:eastAsia="zh-CN"/>
        </w:rPr>
        <w:t>情形</w:t>
      </w:r>
      <w:r>
        <w:rPr>
          <w:rFonts w:hint="eastAsia" w:ascii="宋体" w:hAnsi="宋体" w:cs="宋体"/>
          <w:snapToGrid w:val="0"/>
          <w:kern w:val="10"/>
          <w:sz w:val="24"/>
        </w:rPr>
        <w:t>，按生产型供应商</w:t>
      </w:r>
      <w:r>
        <w:rPr>
          <w:rFonts w:hint="eastAsia" w:ascii="宋体" w:hAnsi="宋体" w:cs="宋体"/>
          <w:snapToGrid w:val="0"/>
          <w:kern w:val="10"/>
          <w:sz w:val="24"/>
          <w:lang w:val="en-US" w:eastAsia="zh-CN"/>
        </w:rPr>
        <w:t>优先于流通型供应商排序；若仍有并列情形时，按供应商</w:t>
      </w:r>
      <w:r>
        <w:rPr>
          <w:rFonts w:hint="eastAsia" w:ascii="宋体" w:hAnsi="宋体" w:cs="宋体"/>
          <w:snapToGrid w:val="0"/>
          <w:kern w:val="10"/>
          <w:sz w:val="24"/>
        </w:rPr>
        <w:t>注册资金</w:t>
      </w:r>
      <w:r>
        <w:rPr>
          <w:rFonts w:hint="eastAsia" w:ascii="宋体" w:hAnsi="宋体" w:cs="宋体"/>
          <w:snapToGrid w:val="0"/>
          <w:kern w:val="10"/>
          <w:sz w:val="24"/>
          <w:lang w:val="en-US" w:eastAsia="zh-CN"/>
        </w:rPr>
        <w:t>由</w:t>
      </w:r>
      <w:r>
        <w:rPr>
          <w:rFonts w:hint="eastAsia" w:ascii="宋体" w:hAnsi="宋体" w:cs="宋体"/>
          <w:snapToGrid w:val="0"/>
          <w:kern w:val="10"/>
          <w:sz w:val="24"/>
        </w:rPr>
        <w:t>高</w:t>
      </w:r>
      <w:r>
        <w:rPr>
          <w:rFonts w:hint="eastAsia" w:ascii="宋体" w:hAnsi="宋体" w:cs="宋体"/>
          <w:snapToGrid w:val="0"/>
          <w:kern w:val="10"/>
          <w:sz w:val="24"/>
          <w:lang w:val="en-US" w:eastAsia="zh-CN"/>
        </w:rPr>
        <w:t>到</w:t>
      </w:r>
      <w:r>
        <w:rPr>
          <w:rFonts w:hint="eastAsia" w:ascii="宋体" w:hAnsi="宋体" w:cs="宋体"/>
          <w:snapToGrid w:val="0"/>
          <w:kern w:val="10"/>
          <w:sz w:val="24"/>
        </w:rPr>
        <w:t>低排序。若还是无法分出优先顺序时，招标人在定标时按是否为战略供应商、合作期长短等因素自行确定中标人。</w:t>
      </w:r>
    </w:p>
    <w:p w14:paraId="7D09E1B2">
      <w:pPr>
        <w:spacing w:line="360" w:lineRule="auto"/>
        <w:ind w:firstLine="480" w:firstLineChars="200"/>
        <w:rPr>
          <w:rFonts w:ascii="宋体" w:hAnsi="宋体" w:cs="宋体"/>
          <w:snapToGrid w:val="0"/>
          <w:kern w:val="10"/>
          <w:sz w:val="24"/>
        </w:rPr>
      </w:pPr>
      <w:r>
        <w:rPr>
          <w:rFonts w:hint="eastAsia" w:ascii="宋体" w:hAnsi="宋体" w:cs="宋体"/>
          <w:snapToGrid w:val="0"/>
          <w:kern w:val="10"/>
          <w:sz w:val="24"/>
        </w:rPr>
        <w:t>5、若符合资格条件的供应商只有1家的，转为直接采购，由委托方自行主持直接采购谈判，完成采购工作。</w:t>
      </w:r>
    </w:p>
    <w:p w14:paraId="5C3EB0D9">
      <w:pPr>
        <w:spacing w:line="360" w:lineRule="auto"/>
        <w:ind w:firstLine="480" w:firstLineChars="200"/>
        <w:rPr>
          <w:rFonts w:ascii="宋体" w:hAnsi="宋体" w:cs="宋体"/>
          <w:snapToGrid w:val="0"/>
          <w:kern w:val="10"/>
          <w:sz w:val="24"/>
        </w:rPr>
      </w:pPr>
      <w:r>
        <w:rPr>
          <w:rFonts w:hint="eastAsia" w:ascii="宋体" w:hAnsi="宋体" w:cs="宋体"/>
          <w:snapToGrid w:val="0"/>
          <w:kern w:val="10"/>
          <w:sz w:val="24"/>
        </w:rPr>
        <w:t>6、第1次询比只有1家参与的，直接流标；若第2次及以上询比仍只有1家参与的，转为直接采购，由委托方自行主持直接采购谈判，完成采购工作。</w:t>
      </w:r>
    </w:p>
    <w:p w14:paraId="45DAA38B">
      <w:pPr>
        <w:spacing w:line="360" w:lineRule="auto"/>
        <w:ind w:firstLine="240" w:firstLineChars="100"/>
        <w:rPr>
          <w:rFonts w:ascii="宋体" w:hAnsi="宋体" w:cs="宋体"/>
          <w:snapToGrid w:val="0"/>
          <w:kern w:val="10"/>
          <w:sz w:val="24"/>
        </w:rPr>
      </w:pPr>
      <w:r>
        <w:rPr>
          <w:rFonts w:hint="eastAsia" w:ascii="宋体" w:hAnsi="宋体" w:cs="宋体"/>
          <w:snapToGrid w:val="0"/>
          <w:kern w:val="10"/>
          <w:sz w:val="24"/>
        </w:rPr>
        <w:t>（</w:t>
      </w:r>
      <w:r>
        <w:rPr>
          <w:rFonts w:hint="eastAsia" w:ascii="宋体" w:hAnsi="宋体" w:cs="宋体"/>
          <w:snapToGrid w:val="0"/>
          <w:kern w:val="10"/>
          <w:sz w:val="24"/>
          <w:lang w:val="en-US" w:eastAsia="zh-CN"/>
        </w:rPr>
        <w:t>四</w:t>
      </w:r>
      <w:r>
        <w:rPr>
          <w:rFonts w:hint="eastAsia" w:ascii="宋体" w:hAnsi="宋体" w:cs="宋体"/>
          <w:snapToGrid w:val="0"/>
          <w:kern w:val="10"/>
          <w:sz w:val="24"/>
        </w:rPr>
        <w:t>）数量分配原则：投标方投标时，应根据自己的实际履约能力，填报相应的投标数量。为保障安全供应，投标方最低投标数量不低于</w:t>
      </w:r>
      <w:r>
        <w:rPr>
          <w:rFonts w:hint="eastAsia" w:ascii="宋体" w:hAnsi="宋体" w:cs="宋体"/>
          <w:snapToGrid w:val="0"/>
          <w:kern w:val="10"/>
          <w:sz w:val="24"/>
          <w:lang w:val="en-US" w:eastAsia="zh-CN"/>
        </w:rPr>
        <w:t>480</w:t>
      </w:r>
      <w:r>
        <w:rPr>
          <w:rFonts w:hint="eastAsia" w:ascii="宋体" w:hAnsi="宋体" w:cs="宋体"/>
          <w:snapToGrid w:val="0"/>
          <w:kern w:val="10"/>
          <w:sz w:val="24"/>
        </w:rPr>
        <w:t>吨。原则上，数量分配时汽车发运按每车33吨的整数倍计。</w:t>
      </w:r>
    </w:p>
    <w:tbl>
      <w:tblPr>
        <w:tblStyle w:val="4"/>
        <w:tblpPr w:leftFromText="180" w:rightFromText="180" w:vertAnchor="text" w:horzAnchor="margin" w:tblpXSpec="center" w:tblpY="111"/>
        <w:tblOverlap w:val="never"/>
        <w:tblW w:w="4819" w:type="pct"/>
        <w:tblInd w:w="0" w:type="dxa"/>
        <w:tblLayout w:type="autofit"/>
        <w:tblCellMar>
          <w:top w:w="0" w:type="dxa"/>
          <w:left w:w="108" w:type="dxa"/>
          <w:bottom w:w="0" w:type="dxa"/>
          <w:right w:w="108" w:type="dxa"/>
        </w:tblCellMar>
      </w:tblPr>
      <w:tblGrid>
        <w:gridCol w:w="1523"/>
        <w:gridCol w:w="1842"/>
        <w:gridCol w:w="2550"/>
        <w:gridCol w:w="2552"/>
        <w:gridCol w:w="1134"/>
      </w:tblGrid>
      <w:tr w14:paraId="3E15F7B6">
        <w:trPr>
          <w:trHeight w:val="499" w:hRule="atLeast"/>
        </w:trPr>
        <w:tc>
          <w:tcPr>
            <w:tcW w:w="7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D68DF0">
            <w:pPr>
              <w:spacing w:line="360" w:lineRule="exact"/>
              <w:jc w:val="center"/>
              <w:rPr>
                <w:rFonts w:ascii="宋体" w:hAnsi="宋体" w:eastAsia="宋体" w:cs="宋体"/>
                <w:b/>
                <w:snapToGrid w:val="0"/>
                <w:kern w:val="10"/>
                <w:szCs w:val="21"/>
              </w:rPr>
            </w:pPr>
            <w:r>
              <w:rPr>
                <w:rFonts w:hint="eastAsia" w:ascii="宋体" w:hAnsi="宋体" w:eastAsia="宋体" w:cs="宋体"/>
                <w:b/>
                <w:snapToGrid w:val="0"/>
                <w:kern w:val="10"/>
                <w:szCs w:val="21"/>
              </w:rPr>
              <w:t>基地</w:t>
            </w:r>
          </w:p>
        </w:tc>
        <w:tc>
          <w:tcPr>
            <w:tcW w:w="959" w:type="pct"/>
            <w:tcBorders>
              <w:top w:val="single" w:color="auto" w:sz="4" w:space="0"/>
              <w:left w:val="nil"/>
              <w:bottom w:val="single" w:color="auto" w:sz="4" w:space="0"/>
              <w:right w:val="single" w:color="auto" w:sz="4" w:space="0"/>
            </w:tcBorders>
            <w:shd w:val="clear" w:color="auto" w:fill="auto"/>
            <w:noWrap/>
            <w:vAlign w:val="center"/>
          </w:tcPr>
          <w:p w14:paraId="0E6AF578">
            <w:pPr>
              <w:spacing w:line="360" w:lineRule="exact"/>
              <w:jc w:val="center"/>
              <w:rPr>
                <w:rFonts w:ascii="宋体" w:hAnsi="宋体" w:eastAsia="宋体" w:cs="宋体"/>
                <w:b/>
                <w:snapToGrid w:val="0"/>
                <w:kern w:val="10"/>
                <w:szCs w:val="21"/>
              </w:rPr>
            </w:pPr>
            <w:r>
              <w:rPr>
                <w:rFonts w:hint="eastAsia" w:ascii="宋体" w:hAnsi="宋体" w:eastAsia="宋体" w:cs="宋体"/>
                <w:b/>
                <w:snapToGrid w:val="0"/>
                <w:kern w:val="10"/>
                <w:szCs w:val="21"/>
              </w:rPr>
              <w:t>招标数量（吨）</w:t>
            </w:r>
          </w:p>
        </w:tc>
        <w:tc>
          <w:tcPr>
            <w:tcW w:w="1327" w:type="pct"/>
            <w:tcBorders>
              <w:top w:val="single" w:color="auto" w:sz="4" w:space="0"/>
              <w:left w:val="nil"/>
              <w:bottom w:val="single" w:color="auto" w:sz="4" w:space="0"/>
              <w:right w:val="single" w:color="auto" w:sz="4" w:space="0"/>
            </w:tcBorders>
            <w:shd w:val="clear" w:color="auto" w:fill="auto"/>
            <w:vAlign w:val="center"/>
          </w:tcPr>
          <w:p w14:paraId="51881AA0">
            <w:pPr>
              <w:spacing w:line="280" w:lineRule="exact"/>
              <w:jc w:val="center"/>
              <w:rPr>
                <w:rFonts w:ascii="宋体" w:hAnsi="宋体" w:eastAsia="宋体" w:cs="宋体"/>
                <w:b/>
                <w:snapToGrid w:val="0"/>
                <w:kern w:val="10"/>
                <w:szCs w:val="21"/>
              </w:rPr>
            </w:pPr>
            <w:r>
              <w:rPr>
                <w:rFonts w:hint="eastAsia" w:ascii="宋体" w:hAnsi="宋体" w:eastAsia="宋体" w:cs="宋体"/>
                <w:b/>
                <w:snapToGrid w:val="0"/>
                <w:kern w:val="10"/>
                <w:szCs w:val="21"/>
              </w:rPr>
              <w:t>第一成交候选人（吨）</w:t>
            </w:r>
          </w:p>
        </w:tc>
        <w:tc>
          <w:tcPr>
            <w:tcW w:w="1328" w:type="pct"/>
            <w:tcBorders>
              <w:top w:val="single" w:color="auto" w:sz="4" w:space="0"/>
              <w:left w:val="nil"/>
              <w:bottom w:val="single" w:color="auto" w:sz="4" w:space="0"/>
              <w:right w:val="single" w:color="auto" w:sz="4" w:space="0"/>
            </w:tcBorders>
            <w:shd w:val="clear" w:color="auto" w:fill="auto"/>
            <w:vAlign w:val="center"/>
          </w:tcPr>
          <w:p w14:paraId="144900F2">
            <w:pPr>
              <w:spacing w:line="280" w:lineRule="exact"/>
              <w:jc w:val="center"/>
              <w:rPr>
                <w:rFonts w:ascii="宋体" w:hAnsi="宋体" w:eastAsia="宋体" w:cs="宋体"/>
                <w:b/>
                <w:snapToGrid w:val="0"/>
                <w:kern w:val="10"/>
                <w:szCs w:val="21"/>
              </w:rPr>
            </w:pPr>
            <w:r>
              <w:rPr>
                <w:rFonts w:hint="eastAsia" w:ascii="宋体" w:hAnsi="宋体" w:eastAsia="宋体" w:cs="宋体"/>
                <w:b/>
                <w:snapToGrid w:val="0"/>
                <w:kern w:val="10"/>
                <w:szCs w:val="21"/>
              </w:rPr>
              <w:t>第二成交候选人（吨）</w:t>
            </w:r>
          </w:p>
        </w:tc>
        <w:tc>
          <w:tcPr>
            <w:tcW w:w="590" w:type="pct"/>
            <w:tcBorders>
              <w:top w:val="single" w:color="auto" w:sz="4" w:space="0"/>
              <w:left w:val="nil"/>
              <w:bottom w:val="single" w:color="auto" w:sz="4" w:space="0"/>
              <w:right w:val="single" w:color="auto" w:sz="4" w:space="0"/>
            </w:tcBorders>
            <w:shd w:val="clear" w:color="auto" w:fill="auto"/>
            <w:noWrap/>
            <w:vAlign w:val="center"/>
          </w:tcPr>
          <w:p w14:paraId="6E29100B">
            <w:pPr>
              <w:spacing w:line="360" w:lineRule="exact"/>
              <w:jc w:val="center"/>
              <w:rPr>
                <w:rFonts w:ascii="宋体" w:hAnsi="宋体" w:eastAsia="宋体" w:cs="宋体"/>
                <w:b/>
                <w:snapToGrid w:val="0"/>
                <w:kern w:val="10"/>
                <w:szCs w:val="21"/>
              </w:rPr>
            </w:pPr>
            <w:r>
              <w:rPr>
                <w:rFonts w:hint="eastAsia" w:ascii="宋体" w:hAnsi="宋体" w:eastAsia="宋体" w:cs="宋体"/>
                <w:b/>
                <w:snapToGrid w:val="0"/>
                <w:kern w:val="10"/>
                <w:szCs w:val="21"/>
              </w:rPr>
              <w:t>备注</w:t>
            </w:r>
          </w:p>
        </w:tc>
      </w:tr>
      <w:tr w14:paraId="008B9F52">
        <w:tblPrEx>
          <w:tblCellMar>
            <w:top w:w="0" w:type="dxa"/>
            <w:left w:w="108" w:type="dxa"/>
            <w:bottom w:w="0" w:type="dxa"/>
            <w:right w:w="108" w:type="dxa"/>
          </w:tblCellMar>
        </w:tblPrEx>
        <w:trPr>
          <w:trHeight w:val="499" w:hRule="atLeast"/>
        </w:trPr>
        <w:tc>
          <w:tcPr>
            <w:tcW w:w="793" w:type="pct"/>
            <w:tcBorders>
              <w:top w:val="nil"/>
              <w:left w:val="single" w:color="auto" w:sz="4" w:space="0"/>
              <w:bottom w:val="single" w:color="auto" w:sz="4" w:space="0"/>
              <w:right w:val="single" w:color="auto" w:sz="4" w:space="0"/>
            </w:tcBorders>
            <w:shd w:val="clear" w:color="auto" w:fill="auto"/>
            <w:noWrap/>
            <w:vAlign w:val="center"/>
          </w:tcPr>
          <w:p w14:paraId="5B57E497">
            <w:pPr>
              <w:spacing w:line="360" w:lineRule="exact"/>
              <w:jc w:val="center"/>
              <w:rPr>
                <w:rFonts w:hint="default" w:ascii="宋体" w:hAnsi="宋体" w:eastAsia="宋体" w:cs="宋体"/>
                <w:snapToGrid w:val="0"/>
                <w:kern w:val="10"/>
                <w:szCs w:val="21"/>
                <w:lang w:val="en-US" w:eastAsia="zh-CN"/>
              </w:rPr>
            </w:pPr>
            <w:r>
              <w:rPr>
                <w:rFonts w:hint="eastAsia" w:ascii="宋体" w:hAnsi="宋体" w:eastAsia="宋体" w:cs="宋体"/>
                <w:snapToGrid w:val="0"/>
                <w:kern w:val="10"/>
                <w:szCs w:val="21"/>
                <w:lang w:val="en-US" w:eastAsia="zh-CN"/>
              </w:rPr>
              <w:t>钛金属</w:t>
            </w:r>
          </w:p>
        </w:tc>
        <w:tc>
          <w:tcPr>
            <w:tcW w:w="959" w:type="pct"/>
            <w:tcBorders>
              <w:top w:val="nil"/>
              <w:left w:val="nil"/>
              <w:bottom w:val="single" w:color="auto" w:sz="4" w:space="0"/>
              <w:right w:val="single" w:color="auto" w:sz="4" w:space="0"/>
            </w:tcBorders>
            <w:shd w:val="clear" w:color="auto" w:fill="auto"/>
            <w:noWrap/>
            <w:vAlign w:val="center"/>
          </w:tcPr>
          <w:p w14:paraId="136AE684">
            <w:pPr>
              <w:spacing w:line="360" w:lineRule="exact"/>
              <w:ind w:firstLine="420" w:firstLineChars="200"/>
              <w:jc w:val="center"/>
              <w:rPr>
                <w:rFonts w:hint="default" w:ascii="宋体" w:hAnsi="宋体" w:eastAsia="宋体" w:cs="宋体"/>
                <w:snapToGrid w:val="0"/>
                <w:kern w:val="10"/>
                <w:szCs w:val="21"/>
                <w:lang w:val="en-US" w:eastAsia="zh-CN"/>
              </w:rPr>
            </w:pPr>
            <w:r>
              <w:rPr>
                <w:rFonts w:hint="eastAsia" w:ascii="宋体" w:hAnsi="宋体" w:eastAsia="宋体" w:cs="宋体"/>
                <w:snapToGrid w:val="0"/>
                <w:kern w:val="10"/>
                <w:szCs w:val="21"/>
                <w:lang w:val="en-US" w:eastAsia="zh-CN"/>
              </w:rPr>
              <w:t>800</w:t>
            </w:r>
          </w:p>
        </w:tc>
        <w:tc>
          <w:tcPr>
            <w:tcW w:w="1327" w:type="pct"/>
            <w:tcBorders>
              <w:top w:val="nil"/>
              <w:left w:val="nil"/>
              <w:bottom w:val="single" w:color="auto" w:sz="4" w:space="0"/>
              <w:right w:val="single" w:color="auto" w:sz="4" w:space="0"/>
            </w:tcBorders>
            <w:shd w:val="clear" w:color="auto" w:fill="auto"/>
            <w:vAlign w:val="center"/>
          </w:tcPr>
          <w:p w14:paraId="11B1F5DE">
            <w:pPr>
              <w:spacing w:line="360" w:lineRule="exact"/>
              <w:ind w:firstLine="420" w:firstLineChars="200"/>
              <w:jc w:val="center"/>
              <w:rPr>
                <w:rFonts w:hint="default" w:ascii="宋体" w:hAnsi="宋体" w:eastAsia="宋体" w:cs="宋体"/>
                <w:snapToGrid w:val="0"/>
                <w:kern w:val="10"/>
                <w:szCs w:val="21"/>
                <w:lang w:val="en-US" w:eastAsia="zh-CN"/>
              </w:rPr>
            </w:pPr>
            <w:r>
              <w:rPr>
                <w:rFonts w:hint="eastAsia" w:ascii="宋体" w:hAnsi="宋体" w:eastAsia="宋体" w:cs="宋体"/>
                <w:snapToGrid w:val="0"/>
                <w:kern w:val="10"/>
                <w:szCs w:val="21"/>
                <w:lang w:val="en-US" w:eastAsia="zh-CN"/>
              </w:rPr>
              <w:t>480</w:t>
            </w:r>
          </w:p>
        </w:tc>
        <w:tc>
          <w:tcPr>
            <w:tcW w:w="1328" w:type="pct"/>
            <w:tcBorders>
              <w:top w:val="nil"/>
              <w:left w:val="nil"/>
              <w:bottom w:val="single" w:color="auto" w:sz="4" w:space="0"/>
              <w:right w:val="single" w:color="auto" w:sz="4" w:space="0"/>
            </w:tcBorders>
            <w:shd w:val="clear" w:color="auto" w:fill="auto"/>
            <w:vAlign w:val="center"/>
          </w:tcPr>
          <w:p w14:paraId="3D885A1C">
            <w:pPr>
              <w:spacing w:line="360" w:lineRule="exact"/>
              <w:ind w:firstLine="420" w:firstLineChars="200"/>
              <w:jc w:val="center"/>
              <w:rPr>
                <w:rFonts w:hint="default" w:ascii="宋体" w:hAnsi="宋体" w:eastAsia="宋体" w:cs="宋体"/>
                <w:snapToGrid w:val="0"/>
                <w:kern w:val="10"/>
                <w:szCs w:val="21"/>
                <w:lang w:val="en-US" w:eastAsia="zh-CN"/>
              </w:rPr>
            </w:pPr>
            <w:r>
              <w:rPr>
                <w:rFonts w:hint="eastAsia" w:ascii="宋体" w:hAnsi="宋体" w:eastAsia="宋体" w:cs="宋体"/>
                <w:snapToGrid w:val="0"/>
                <w:kern w:val="10"/>
                <w:szCs w:val="21"/>
                <w:lang w:val="en-US" w:eastAsia="zh-CN"/>
              </w:rPr>
              <w:t>320</w:t>
            </w:r>
          </w:p>
        </w:tc>
        <w:tc>
          <w:tcPr>
            <w:tcW w:w="590" w:type="pct"/>
            <w:tcBorders>
              <w:top w:val="nil"/>
              <w:left w:val="nil"/>
              <w:bottom w:val="single" w:color="auto" w:sz="4" w:space="0"/>
              <w:right w:val="single" w:color="auto" w:sz="4" w:space="0"/>
            </w:tcBorders>
            <w:shd w:val="clear" w:color="auto" w:fill="auto"/>
            <w:noWrap/>
            <w:vAlign w:val="center"/>
          </w:tcPr>
          <w:p w14:paraId="63B30737">
            <w:pPr>
              <w:spacing w:line="360" w:lineRule="exact"/>
              <w:ind w:firstLine="420" w:firstLineChars="200"/>
              <w:jc w:val="center"/>
              <w:rPr>
                <w:rFonts w:ascii="宋体" w:hAnsi="宋体" w:eastAsia="宋体" w:cs="宋体"/>
                <w:snapToGrid w:val="0"/>
                <w:kern w:val="10"/>
                <w:szCs w:val="21"/>
              </w:rPr>
            </w:pPr>
          </w:p>
        </w:tc>
      </w:tr>
    </w:tbl>
    <w:p w14:paraId="1EFA9C75">
      <w:pPr>
        <w:spacing w:line="360" w:lineRule="auto"/>
        <w:ind w:firstLine="480" w:firstLineChars="200"/>
        <w:rPr>
          <w:rFonts w:ascii="宋体" w:hAnsi="宋体" w:eastAsia="宋体" w:cs="宋体"/>
          <w:snapToGrid w:val="0"/>
          <w:kern w:val="10"/>
          <w:sz w:val="24"/>
          <w:szCs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5NjkyNzExZjYzNzcxMTBhMzY1ODNhNTNjNTZjNmMifQ=="/>
  </w:docVars>
  <w:rsids>
    <w:rsidRoot w:val="008D1AFD"/>
    <w:rsid w:val="0000382B"/>
    <w:rsid w:val="00033DEC"/>
    <w:rsid w:val="00057830"/>
    <w:rsid w:val="000E2340"/>
    <w:rsid w:val="000F04BF"/>
    <w:rsid w:val="00122668"/>
    <w:rsid w:val="00124343"/>
    <w:rsid w:val="0014564A"/>
    <w:rsid w:val="001652A5"/>
    <w:rsid w:val="00166207"/>
    <w:rsid w:val="001A1663"/>
    <w:rsid w:val="001C6A96"/>
    <w:rsid w:val="001F1792"/>
    <w:rsid w:val="00255917"/>
    <w:rsid w:val="00265025"/>
    <w:rsid w:val="0027259F"/>
    <w:rsid w:val="002B5AA6"/>
    <w:rsid w:val="002C7920"/>
    <w:rsid w:val="003020A2"/>
    <w:rsid w:val="00305DAE"/>
    <w:rsid w:val="00340C94"/>
    <w:rsid w:val="003B2DB3"/>
    <w:rsid w:val="003C6610"/>
    <w:rsid w:val="0041608A"/>
    <w:rsid w:val="004168E4"/>
    <w:rsid w:val="0043455C"/>
    <w:rsid w:val="004442EA"/>
    <w:rsid w:val="00485DAE"/>
    <w:rsid w:val="004A4090"/>
    <w:rsid w:val="004C0B60"/>
    <w:rsid w:val="004C252D"/>
    <w:rsid w:val="004D385A"/>
    <w:rsid w:val="004D7490"/>
    <w:rsid w:val="004E68C0"/>
    <w:rsid w:val="00522EB3"/>
    <w:rsid w:val="00536CC8"/>
    <w:rsid w:val="005430FA"/>
    <w:rsid w:val="00546048"/>
    <w:rsid w:val="00554B55"/>
    <w:rsid w:val="00555682"/>
    <w:rsid w:val="00576436"/>
    <w:rsid w:val="00587A4F"/>
    <w:rsid w:val="00591715"/>
    <w:rsid w:val="005917FA"/>
    <w:rsid w:val="0063120D"/>
    <w:rsid w:val="00644B27"/>
    <w:rsid w:val="00667878"/>
    <w:rsid w:val="00671C28"/>
    <w:rsid w:val="0067582F"/>
    <w:rsid w:val="00693B10"/>
    <w:rsid w:val="00715C7C"/>
    <w:rsid w:val="007B04EB"/>
    <w:rsid w:val="00801897"/>
    <w:rsid w:val="00827259"/>
    <w:rsid w:val="00862021"/>
    <w:rsid w:val="00874058"/>
    <w:rsid w:val="00884C65"/>
    <w:rsid w:val="008A119E"/>
    <w:rsid w:val="008C1481"/>
    <w:rsid w:val="008D1AFD"/>
    <w:rsid w:val="00920E88"/>
    <w:rsid w:val="0092515B"/>
    <w:rsid w:val="009778E0"/>
    <w:rsid w:val="009A163D"/>
    <w:rsid w:val="009D0C41"/>
    <w:rsid w:val="00A04144"/>
    <w:rsid w:val="00A135DE"/>
    <w:rsid w:val="00A610CF"/>
    <w:rsid w:val="00A6713C"/>
    <w:rsid w:val="00AA4C40"/>
    <w:rsid w:val="00AC5070"/>
    <w:rsid w:val="00AC660A"/>
    <w:rsid w:val="00AD1566"/>
    <w:rsid w:val="00AF50F8"/>
    <w:rsid w:val="00BD54BF"/>
    <w:rsid w:val="00C17657"/>
    <w:rsid w:val="00C258FF"/>
    <w:rsid w:val="00C43444"/>
    <w:rsid w:val="00C46397"/>
    <w:rsid w:val="00C70360"/>
    <w:rsid w:val="00CD7D93"/>
    <w:rsid w:val="00D07EF9"/>
    <w:rsid w:val="00D22681"/>
    <w:rsid w:val="00D23937"/>
    <w:rsid w:val="00D4383F"/>
    <w:rsid w:val="00D9009D"/>
    <w:rsid w:val="00DA486C"/>
    <w:rsid w:val="00DC379C"/>
    <w:rsid w:val="00DD75DC"/>
    <w:rsid w:val="00DD79E3"/>
    <w:rsid w:val="00DE4579"/>
    <w:rsid w:val="00E333B8"/>
    <w:rsid w:val="00E44B9D"/>
    <w:rsid w:val="00E47C63"/>
    <w:rsid w:val="00E72987"/>
    <w:rsid w:val="00E87403"/>
    <w:rsid w:val="00EA61D0"/>
    <w:rsid w:val="00EA6944"/>
    <w:rsid w:val="00ED600F"/>
    <w:rsid w:val="00F01B47"/>
    <w:rsid w:val="00F02B67"/>
    <w:rsid w:val="00F158BA"/>
    <w:rsid w:val="00F3317C"/>
    <w:rsid w:val="00F5283C"/>
    <w:rsid w:val="00F61D59"/>
    <w:rsid w:val="00F626DF"/>
    <w:rsid w:val="00F82E8C"/>
    <w:rsid w:val="00F84EA1"/>
    <w:rsid w:val="00FA7B0F"/>
    <w:rsid w:val="00FC1B18"/>
    <w:rsid w:val="014A4E40"/>
    <w:rsid w:val="0318448C"/>
    <w:rsid w:val="04A40A7F"/>
    <w:rsid w:val="09441AE7"/>
    <w:rsid w:val="0C631455"/>
    <w:rsid w:val="0D6F0E30"/>
    <w:rsid w:val="0F2007F3"/>
    <w:rsid w:val="0F795513"/>
    <w:rsid w:val="14017AD7"/>
    <w:rsid w:val="14B051F1"/>
    <w:rsid w:val="2C026B8F"/>
    <w:rsid w:val="2F8368EF"/>
    <w:rsid w:val="33975D7D"/>
    <w:rsid w:val="41D73666"/>
    <w:rsid w:val="49EB6DB8"/>
    <w:rsid w:val="4EFB1850"/>
    <w:rsid w:val="53D770AD"/>
    <w:rsid w:val="56FA587C"/>
    <w:rsid w:val="59924242"/>
    <w:rsid w:val="6E875C75"/>
    <w:rsid w:val="6EC333BE"/>
    <w:rsid w:val="71EA6C3C"/>
    <w:rsid w:val="785F30BB"/>
    <w:rsid w:val="7E9650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2</Pages>
  <Words>1569</Words>
  <Characters>1629</Characters>
  <Lines>11</Lines>
  <Paragraphs>3</Paragraphs>
  <TotalTime>14</TotalTime>
  <ScaleCrop>false</ScaleCrop>
  <LinksUpToDate>false</LinksUpToDate>
  <CharactersWithSpaces>1646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2022-07-29T07:56:00Z</dcterms:created>
  <dc:creator>zcb dcb</dc:creator>
  <cp:lastModifiedBy>zcb dcb</cp:lastModifiedBy>
  <cp:lastPrinted>2025-01-13T00:22:00Z</cp:lastPrinted>
  <dcterms:modified xsi:type="dcterms:W3CDTF">2025-03-14T00:33:16Z</dcterms:modified>
  <cp:revision>124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71C547FA088F4A23B9470B8E1A584A35_12</vt:lpwstr>
  </property>
  <property fmtid="{D5CDD505-2E9C-101B-9397-08002B2CF9AE}" pid="4" name="KSOTemplateDocerSaveRecord">
    <vt:lpwstr>eyJoZGlkIjoiZmExMjZjYjhhMzFhZjRiNmM5M2NkOWIzNDU2ZGQ1NzYiLCJ1c2VySWQiOiIzMTYwNDM4NzgifQ==</vt:lpwstr>
  </property>
</Properties>
</file>