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359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进一步加强辽宁省</w:t>
      </w:r>
      <w:r>
        <w:rPr>
          <w:rFonts w:hint="eastAsia" w:ascii="方正小标宋简体" w:hAnsi="方正小标宋简体" w:eastAsia="方正小标宋简体" w:cs="方正小标宋简体"/>
          <w:sz w:val="44"/>
          <w:szCs w:val="44"/>
        </w:rPr>
        <w:t>绿色矿山</w:t>
      </w:r>
    </w:p>
    <w:p w14:paraId="5D25E5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建设</w:t>
      </w:r>
      <w:r>
        <w:rPr>
          <w:rFonts w:hint="eastAsia" w:ascii="方正小标宋简体" w:hAnsi="方正小标宋简体" w:eastAsia="方正小标宋简体" w:cs="方正小标宋简体"/>
          <w:sz w:val="44"/>
          <w:szCs w:val="44"/>
        </w:rPr>
        <w:t>的通知</w:t>
      </w:r>
    </w:p>
    <w:p w14:paraId="77B1F523">
      <w:pPr>
        <w:widowControl/>
        <w:spacing w:line="480" w:lineRule="auto"/>
        <w:jc w:val="center"/>
        <w:rPr>
          <w:rFonts w:ascii="Times New Roman" w:hAnsi="Times New Roman" w:eastAsia="宋体"/>
          <w:b/>
          <w:bCs/>
          <w:sz w:val="44"/>
          <w:szCs w:val="44"/>
        </w:rPr>
      </w:pPr>
    </w:p>
    <w:p w14:paraId="628D5E10">
      <w:pPr>
        <w:autoSpaceDE w:val="0"/>
        <w:autoSpaceDN w:val="0"/>
        <w:adjustRightInd w:val="0"/>
        <w:spacing w:line="480" w:lineRule="auto"/>
        <w:rPr>
          <w:rFonts w:hint="eastAsia"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各市自然资源局、生态环境局、财政局、工业和信息化局、</w:t>
      </w:r>
      <w:r>
        <w:rPr>
          <w:rFonts w:hint="eastAsia" w:ascii="Times New Roman" w:hAnsi="Times New Roman" w:eastAsia="仿宋"/>
          <w:color w:val="auto"/>
          <w:sz w:val="32"/>
          <w:szCs w:val="32"/>
          <w:shd w:val="clear" w:color="auto" w:fill="auto"/>
          <w:lang w:eastAsia="zh-CN"/>
        </w:rPr>
        <w:t>应急管理局</w:t>
      </w:r>
      <w:r>
        <w:rPr>
          <w:rFonts w:hint="eastAsia" w:ascii="Times New Roman" w:hAnsi="Times New Roman" w:eastAsia="仿宋"/>
          <w:color w:val="auto"/>
          <w:sz w:val="32"/>
          <w:szCs w:val="32"/>
          <w:shd w:val="clear" w:color="auto" w:fill="auto"/>
        </w:rPr>
        <w:t>、林业和草原局、市场监督管理局、国家金融监督管理总局监管分局、中国证券监督管理委员会监管分局：</w:t>
      </w:r>
    </w:p>
    <w:p w14:paraId="1F9E3387">
      <w:pPr>
        <w:autoSpaceDE w:val="0"/>
        <w:autoSpaceDN w:val="0"/>
        <w:adjustRightInd w:val="0"/>
        <w:ind w:firstLine="640" w:firstLineChars="200"/>
        <w:outlineLvl w:val="0"/>
        <w:rPr>
          <w:rFonts w:ascii="Times New Roman" w:hAnsi="Times New Roman" w:eastAsia="黑体"/>
          <w:color w:val="auto"/>
          <w:sz w:val="32"/>
          <w:szCs w:val="32"/>
          <w:shd w:val="clear" w:color="auto" w:fill="auto"/>
        </w:rPr>
      </w:pPr>
      <w:bookmarkStart w:id="0" w:name="_Toc2691779"/>
      <w:r>
        <w:rPr>
          <w:rFonts w:ascii="Times New Roman" w:hAnsi="Times New Roman" w:eastAsia="黑体"/>
          <w:color w:val="auto"/>
          <w:sz w:val="32"/>
          <w:szCs w:val="32"/>
          <w:shd w:val="clear" w:color="auto" w:fill="auto"/>
        </w:rPr>
        <w:t>一、总体要求</w:t>
      </w:r>
      <w:bookmarkEnd w:id="0"/>
      <w:bookmarkStart w:id="1" w:name="_Toc2691780"/>
    </w:p>
    <w:p w14:paraId="0FEA3594">
      <w:pPr>
        <w:autoSpaceDE w:val="0"/>
        <w:autoSpaceDN w:val="0"/>
        <w:adjustRightInd w:val="0"/>
        <w:ind w:firstLine="640" w:firstLineChars="200"/>
        <w:rPr>
          <w:rFonts w:ascii="楷体" w:hAnsi="楷体" w:eastAsia="楷体"/>
          <w:color w:val="auto"/>
          <w:sz w:val="32"/>
          <w:szCs w:val="32"/>
          <w:shd w:val="clear" w:color="auto" w:fill="auto"/>
        </w:rPr>
      </w:pPr>
      <w:r>
        <w:rPr>
          <w:rFonts w:ascii="楷体" w:hAnsi="楷体" w:eastAsia="楷体"/>
          <w:color w:val="auto"/>
          <w:sz w:val="32"/>
          <w:szCs w:val="32"/>
          <w:shd w:val="clear" w:color="auto" w:fill="auto"/>
        </w:rPr>
        <w:t>（一）指导思想</w:t>
      </w:r>
      <w:bookmarkEnd w:id="1"/>
    </w:p>
    <w:p w14:paraId="44D5FC82">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ascii="Times New Roman" w:hAnsi="Times New Roman" w:eastAsia="仿宋"/>
          <w:color w:val="auto"/>
          <w:sz w:val="32"/>
          <w:szCs w:val="32"/>
          <w:shd w:val="clear" w:color="auto" w:fill="auto"/>
        </w:rPr>
        <w:t>以习近平新时代中国特色社会主义思想为指导，深入贯彻党的二十大精神，牢固树立和践行绿水青山就是金山银山的理念，结合辽宁省经济社会发展需求、资源环境特点，将绿色发展理念贯穿于矿产资源勘查开发全过程，持续提高矿产资源开发利用保护水平，</w:t>
      </w:r>
      <w:r>
        <w:rPr>
          <w:rFonts w:hint="eastAsia" w:ascii="Times New Roman" w:hAnsi="Times New Roman" w:eastAsia="仿宋"/>
          <w:color w:val="auto"/>
          <w:sz w:val="32"/>
          <w:szCs w:val="32"/>
          <w:shd w:val="clear" w:color="auto" w:fill="auto"/>
          <w:lang w:eastAsia="zh-CN"/>
        </w:rPr>
        <w:t>有序推动绿色矿山提质升级，</w:t>
      </w:r>
      <w:r>
        <w:rPr>
          <w:rFonts w:ascii="Times New Roman" w:hAnsi="Times New Roman" w:eastAsia="仿宋"/>
          <w:color w:val="auto"/>
          <w:sz w:val="32"/>
          <w:szCs w:val="32"/>
          <w:shd w:val="clear" w:color="auto" w:fill="auto"/>
        </w:rPr>
        <w:t>为辽宁省经济社会高质量发展提供稳定的矿产资源基础和保障，助力美丽中国建设。</w:t>
      </w:r>
      <w:bookmarkStart w:id="2" w:name="_Toc2691781"/>
    </w:p>
    <w:p w14:paraId="030163B0">
      <w:pPr>
        <w:autoSpaceDE w:val="0"/>
        <w:autoSpaceDN w:val="0"/>
        <w:adjustRightInd w:val="0"/>
        <w:ind w:firstLine="640" w:firstLineChars="200"/>
        <w:rPr>
          <w:rFonts w:ascii="楷体" w:hAnsi="楷体" w:eastAsia="楷体"/>
          <w:color w:val="auto"/>
          <w:sz w:val="32"/>
          <w:szCs w:val="32"/>
          <w:shd w:val="clear" w:color="auto" w:fill="auto"/>
        </w:rPr>
      </w:pPr>
      <w:r>
        <w:rPr>
          <w:rFonts w:ascii="楷体" w:hAnsi="楷体" w:eastAsia="楷体"/>
          <w:color w:val="auto"/>
          <w:sz w:val="32"/>
          <w:szCs w:val="32"/>
          <w:shd w:val="clear" w:color="auto" w:fill="auto"/>
        </w:rPr>
        <w:t>（二）基本原则</w:t>
      </w:r>
      <w:bookmarkEnd w:id="2"/>
    </w:p>
    <w:p w14:paraId="40E65BFB">
      <w:pPr>
        <w:autoSpaceDE w:val="0"/>
        <w:autoSpaceDN w:val="0"/>
        <w:adjustRightInd w:val="0"/>
        <w:ind w:firstLine="640" w:firstLineChars="200"/>
        <w:rPr>
          <w:rFonts w:ascii="Times New Roman" w:hAnsi="Times New Roman" w:eastAsia="仿宋"/>
          <w:color w:val="auto"/>
          <w:sz w:val="32"/>
          <w:szCs w:val="32"/>
          <w:shd w:val="clear" w:color="auto" w:fill="auto"/>
        </w:rPr>
      </w:pPr>
      <w:bookmarkStart w:id="3" w:name="_Toc2691782"/>
      <w:r>
        <w:rPr>
          <w:rFonts w:ascii="Times New Roman" w:hAnsi="Times New Roman" w:eastAsia="仿宋"/>
          <w:color w:val="auto"/>
          <w:sz w:val="32"/>
          <w:szCs w:val="32"/>
          <w:shd w:val="clear" w:color="auto" w:fill="auto"/>
        </w:rPr>
        <w:t>坚持分类实施</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全面推进。矿山企业应当</w:t>
      </w:r>
      <w:r>
        <w:rPr>
          <w:rFonts w:hint="eastAsia" w:ascii="Times New Roman" w:hAnsi="Times New Roman" w:eastAsia="仿宋"/>
          <w:color w:val="auto"/>
          <w:sz w:val="32"/>
          <w:szCs w:val="32"/>
          <w:shd w:val="clear" w:color="auto" w:fill="auto"/>
          <w:lang w:eastAsia="zh-CN"/>
        </w:rPr>
        <w:t>坚持</w:t>
      </w:r>
      <w:r>
        <w:rPr>
          <w:rFonts w:ascii="Times New Roman" w:hAnsi="Times New Roman" w:eastAsia="仿宋"/>
          <w:color w:val="auto"/>
          <w:sz w:val="32"/>
          <w:szCs w:val="32"/>
          <w:shd w:val="clear" w:color="auto" w:fill="auto"/>
        </w:rPr>
        <w:t>绿色发展理念，严格</w:t>
      </w:r>
      <w:r>
        <w:rPr>
          <w:rFonts w:hint="eastAsia" w:ascii="Times New Roman" w:hAnsi="Times New Roman" w:eastAsia="仿宋"/>
          <w:color w:val="auto"/>
          <w:sz w:val="32"/>
          <w:szCs w:val="32"/>
          <w:shd w:val="clear" w:color="auto" w:fill="auto"/>
          <w:lang w:eastAsia="zh-CN"/>
        </w:rPr>
        <w:t>绿色矿山标准</w:t>
      </w:r>
      <w:r>
        <w:rPr>
          <w:rFonts w:ascii="Times New Roman" w:hAnsi="Times New Roman" w:eastAsia="仿宋"/>
          <w:color w:val="auto"/>
          <w:sz w:val="32"/>
          <w:szCs w:val="32"/>
          <w:shd w:val="clear" w:color="auto" w:fill="auto"/>
        </w:rPr>
        <w:t>进行设计、建设、开采和管理。</w:t>
      </w:r>
      <w:r>
        <w:rPr>
          <w:rFonts w:hint="eastAsia" w:ascii="Times New Roman" w:hAnsi="Times New Roman" w:eastAsia="仿宋"/>
          <w:color w:val="auto"/>
          <w:sz w:val="32"/>
          <w:szCs w:val="32"/>
          <w:shd w:val="clear" w:color="auto" w:fill="auto"/>
          <w:lang w:eastAsia="zh-CN"/>
        </w:rPr>
        <w:t>新建、改扩建和在产矿山</w:t>
      </w:r>
      <w:r>
        <w:rPr>
          <w:rFonts w:hint="eastAsia" w:ascii="Times New Roman" w:hAnsi="Times New Roman" w:eastAsia="仿宋"/>
          <w:color w:val="auto"/>
          <w:sz w:val="32"/>
          <w:szCs w:val="32"/>
          <w:shd w:val="clear" w:color="auto" w:fill="auto"/>
        </w:rPr>
        <w:t>（从事矿产资源开发的新建、改扩建</w:t>
      </w:r>
      <w:r>
        <w:rPr>
          <w:rFonts w:hint="eastAsia" w:ascii="Times New Roman" w:hAnsi="Times New Roman" w:eastAsia="仿宋"/>
          <w:color w:val="auto"/>
          <w:sz w:val="32"/>
          <w:szCs w:val="32"/>
          <w:shd w:val="clear" w:color="auto" w:fill="auto"/>
          <w:lang w:eastAsia="zh-CN"/>
        </w:rPr>
        <w:t>和</w:t>
      </w:r>
      <w:r>
        <w:rPr>
          <w:rFonts w:ascii="Times New Roman" w:hAnsi="Times New Roman" w:eastAsia="仿宋"/>
          <w:color w:val="auto"/>
          <w:sz w:val="32"/>
          <w:szCs w:val="32"/>
          <w:shd w:val="clear" w:color="auto" w:fill="auto"/>
        </w:rPr>
        <w:t>剩余储量可开采年限在3年</w:t>
      </w:r>
      <w:r>
        <w:rPr>
          <w:rFonts w:hint="eastAsia" w:ascii="Times New Roman" w:hAnsi="Times New Roman" w:eastAsia="仿宋"/>
          <w:color w:val="auto"/>
          <w:sz w:val="32"/>
          <w:szCs w:val="32"/>
          <w:shd w:val="clear" w:color="auto" w:fill="auto"/>
        </w:rPr>
        <w:t>及</w:t>
      </w:r>
      <w:r>
        <w:rPr>
          <w:rFonts w:ascii="Times New Roman" w:hAnsi="Times New Roman" w:eastAsia="仿宋"/>
          <w:color w:val="auto"/>
          <w:sz w:val="32"/>
          <w:szCs w:val="32"/>
          <w:shd w:val="clear" w:color="auto" w:fill="auto"/>
        </w:rPr>
        <w:t>以上的</w:t>
      </w:r>
      <w:r>
        <w:rPr>
          <w:rFonts w:hint="eastAsia" w:ascii="Times New Roman" w:hAnsi="Times New Roman" w:eastAsia="仿宋"/>
          <w:color w:val="auto"/>
          <w:sz w:val="32"/>
          <w:szCs w:val="32"/>
          <w:shd w:val="clear" w:color="auto" w:fill="auto"/>
          <w:lang w:eastAsia="zh-CN"/>
        </w:rPr>
        <w:t>持证</w:t>
      </w:r>
      <w:r>
        <w:rPr>
          <w:rFonts w:ascii="Times New Roman" w:hAnsi="Times New Roman" w:eastAsia="仿宋"/>
          <w:color w:val="auto"/>
          <w:sz w:val="32"/>
          <w:szCs w:val="32"/>
          <w:shd w:val="clear" w:color="auto" w:fill="auto"/>
        </w:rPr>
        <w:t>生产矿山</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均应开展绿色矿山建设，做到</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应建必建</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。剩余储量可开采年限不足3年的，</w:t>
      </w:r>
      <w:r>
        <w:rPr>
          <w:rFonts w:hint="eastAsia" w:ascii="Times New Roman" w:hAnsi="Times New Roman" w:eastAsia="仿宋"/>
          <w:color w:val="auto"/>
          <w:sz w:val="32"/>
          <w:szCs w:val="32"/>
          <w:shd w:val="clear" w:color="auto" w:fill="auto"/>
          <w:lang w:eastAsia="zh-CN"/>
        </w:rPr>
        <w:t>应当</w:t>
      </w:r>
      <w:r>
        <w:rPr>
          <w:rFonts w:ascii="Times New Roman" w:hAnsi="Times New Roman" w:eastAsia="仿宋"/>
          <w:color w:val="auto"/>
          <w:sz w:val="32"/>
          <w:szCs w:val="32"/>
          <w:shd w:val="clear" w:color="auto" w:fill="auto"/>
        </w:rPr>
        <w:t>参照绿色矿山建设规范要求进行生产和管理，着重做好闭坑前的污染防治，以及矿山地质环境恢复治理、土地复垦、植被恢复等生态修复工作。</w:t>
      </w:r>
    </w:p>
    <w:p w14:paraId="6240023A">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ascii="Times New Roman" w:hAnsi="Times New Roman" w:eastAsia="仿宋"/>
          <w:color w:val="auto"/>
          <w:sz w:val="32"/>
          <w:szCs w:val="32"/>
          <w:shd w:val="clear" w:color="auto" w:fill="auto"/>
        </w:rPr>
        <w:t>坚持问题导向</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整体提升。</w:t>
      </w:r>
      <w:r>
        <w:rPr>
          <w:rFonts w:hint="eastAsia" w:ascii="Times New Roman" w:hAnsi="Times New Roman" w:eastAsia="仿宋"/>
          <w:color w:val="auto"/>
          <w:sz w:val="32"/>
          <w:szCs w:val="32"/>
          <w:shd w:val="clear" w:color="auto" w:fill="auto"/>
          <w:lang w:eastAsia="zh-CN"/>
        </w:rPr>
        <w:t>引导</w:t>
      </w:r>
      <w:r>
        <w:rPr>
          <w:rFonts w:hint="eastAsia" w:ascii="Times New Roman" w:hAnsi="Times New Roman" w:eastAsia="仿宋"/>
          <w:color w:val="auto"/>
          <w:sz w:val="32"/>
          <w:szCs w:val="32"/>
          <w:shd w:val="clear" w:color="auto" w:fill="auto"/>
        </w:rPr>
        <w:t>已建成</w:t>
      </w:r>
      <w:r>
        <w:rPr>
          <w:rFonts w:hint="eastAsia" w:ascii="Times New Roman" w:hAnsi="Times New Roman" w:eastAsia="仿宋"/>
          <w:color w:val="auto"/>
          <w:sz w:val="32"/>
          <w:szCs w:val="32"/>
          <w:shd w:val="clear" w:color="auto" w:fill="auto"/>
          <w:lang w:eastAsia="zh-CN"/>
        </w:rPr>
        <w:t>的</w:t>
      </w:r>
      <w:r>
        <w:rPr>
          <w:rFonts w:hint="eastAsia" w:ascii="Times New Roman" w:hAnsi="Times New Roman" w:eastAsia="仿宋"/>
          <w:color w:val="auto"/>
          <w:sz w:val="32"/>
          <w:szCs w:val="32"/>
          <w:shd w:val="clear" w:color="auto" w:fill="auto"/>
        </w:rPr>
        <w:t>绿色矿山对标新标准，从</w:t>
      </w:r>
      <w:r>
        <w:rPr>
          <w:rFonts w:ascii="Times New Roman" w:hAnsi="Times New Roman" w:eastAsia="仿宋"/>
          <w:color w:val="auto"/>
          <w:sz w:val="32"/>
          <w:szCs w:val="32"/>
          <w:shd w:val="clear" w:color="auto" w:fill="auto"/>
        </w:rPr>
        <w:t>矿容矿貌、</w:t>
      </w:r>
      <w:r>
        <w:rPr>
          <w:rFonts w:hint="eastAsia" w:ascii="Times New Roman" w:hAnsi="Times New Roman" w:eastAsia="仿宋"/>
          <w:color w:val="auto"/>
          <w:sz w:val="32"/>
          <w:szCs w:val="32"/>
          <w:shd w:val="clear" w:color="auto" w:fill="auto"/>
          <w:lang w:eastAsia="zh-CN"/>
        </w:rPr>
        <w:t>绿色开发</w:t>
      </w:r>
      <w:r>
        <w:rPr>
          <w:rFonts w:ascii="Times New Roman" w:hAnsi="Times New Roman" w:eastAsia="仿宋"/>
          <w:color w:val="auto"/>
          <w:sz w:val="32"/>
          <w:szCs w:val="32"/>
          <w:shd w:val="clear" w:color="auto" w:fill="auto"/>
        </w:rPr>
        <w:t>、</w:t>
      </w:r>
      <w:r>
        <w:rPr>
          <w:rFonts w:hint="eastAsia" w:ascii="Times New Roman" w:hAnsi="Times New Roman" w:eastAsia="仿宋"/>
          <w:color w:val="auto"/>
          <w:sz w:val="32"/>
          <w:szCs w:val="32"/>
          <w:shd w:val="clear" w:color="auto" w:fill="auto"/>
          <w:lang w:eastAsia="zh-CN"/>
        </w:rPr>
        <w:t>环境保护</w:t>
      </w:r>
      <w:r>
        <w:rPr>
          <w:rFonts w:ascii="Times New Roman" w:hAnsi="Times New Roman" w:eastAsia="仿宋"/>
          <w:color w:val="auto"/>
          <w:sz w:val="32"/>
          <w:szCs w:val="32"/>
          <w:shd w:val="clear" w:color="auto" w:fill="auto"/>
        </w:rPr>
        <w:t>、</w:t>
      </w:r>
      <w:r>
        <w:rPr>
          <w:rFonts w:hint="eastAsia" w:ascii="Times New Roman" w:hAnsi="Times New Roman" w:eastAsia="仿宋"/>
          <w:color w:val="auto"/>
          <w:sz w:val="32"/>
          <w:szCs w:val="32"/>
          <w:shd w:val="clear" w:color="auto" w:fill="auto"/>
          <w:lang w:eastAsia="zh-CN"/>
        </w:rPr>
        <w:t>科技创新、节能减排</w:t>
      </w:r>
      <w:r>
        <w:rPr>
          <w:rFonts w:ascii="Times New Roman" w:hAnsi="Times New Roman" w:eastAsia="仿宋"/>
          <w:color w:val="auto"/>
          <w:sz w:val="32"/>
          <w:szCs w:val="32"/>
          <w:shd w:val="clear" w:color="auto" w:fill="auto"/>
        </w:rPr>
        <w:t>等</w:t>
      </w:r>
      <w:r>
        <w:rPr>
          <w:rFonts w:hint="eastAsia" w:ascii="Times New Roman" w:hAnsi="Times New Roman" w:eastAsia="仿宋"/>
          <w:color w:val="auto"/>
          <w:sz w:val="32"/>
          <w:szCs w:val="32"/>
          <w:shd w:val="clear" w:color="auto" w:fill="auto"/>
        </w:rPr>
        <w:t>方面</w:t>
      </w:r>
      <w:r>
        <w:rPr>
          <w:rFonts w:ascii="Times New Roman" w:hAnsi="Times New Roman" w:eastAsia="仿宋"/>
          <w:color w:val="auto"/>
          <w:sz w:val="32"/>
          <w:szCs w:val="32"/>
          <w:shd w:val="clear" w:color="auto" w:fill="auto"/>
        </w:rPr>
        <w:t>，</w:t>
      </w:r>
      <w:r>
        <w:rPr>
          <w:rFonts w:hint="eastAsia" w:ascii="Times New Roman" w:hAnsi="Times New Roman" w:eastAsia="仿宋"/>
          <w:color w:val="auto"/>
          <w:sz w:val="32"/>
          <w:szCs w:val="32"/>
          <w:shd w:val="clear" w:color="auto" w:fill="auto"/>
          <w:lang w:eastAsia="zh-CN"/>
        </w:rPr>
        <w:t>全面查找差距</w:t>
      </w:r>
      <w:r>
        <w:rPr>
          <w:rFonts w:ascii="Times New Roman" w:hAnsi="Times New Roman" w:eastAsia="仿宋"/>
          <w:color w:val="auto"/>
          <w:sz w:val="32"/>
          <w:szCs w:val="32"/>
          <w:shd w:val="clear" w:color="auto" w:fill="auto"/>
        </w:rPr>
        <w:t>，</w:t>
      </w:r>
      <w:r>
        <w:rPr>
          <w:rFonts w:hint="eastAsia" w:ascii="Times New Roman" w:hAnsi="Times New Roman" w:eastAsia="仿宋"/>
          <w:color w:val="auto"/>
          <w:sz w:val="32"/>
          <w:szCs w:val="32"/>
          <w:shd w:val="clear" w:color="auto" w:fill="auto"/>
          <w:lang w:eastAsia="zh-CN"/>
        </w:rPr>
        <w:t>持续提升整体水平</w:t>
      </w:r>
      <w:r>
        <w:rPr>
          <w:rFonts w:ascii="Times New Roman" w:hAnsi="Times New Roman" w:eastAsia="仿宋"/>
          <w:color w:val="auto"/>
          <w:sz w:val="32"/>
          <w:szCs w:val="32"/>
          <w:shd w:val="clear" w:color="auto" w:fill="auto"/>
        </w:rPr>
        <w:t>。</w:t>
      </w:r>
      <w:r>
        <w:rPr>
          <w:rFonts w:hint="eastAsia" w:ascii="Times New Roman" w:hAnsi="Times New Roman" w:eastAsia="仿宋"/>
          <w:color w:val="auto"/>
          <w:sz w:val="32"/>
          <w:szCs w:val="32"/>
          <w:shd w:val="clear" w:color="auto" w:fill="auto"/>
          <w:lang w:eastAsia="zh-CN"/>
        </w:rPr>
        <w:t>指导正在</w:t>
      </w:r>
      <w:r>
        <w:rPr>
          <w:rFonts w:ascii="Times New Roman" w:hAnsi="Times New Roman" w:eastAsia="仿宋"/>
          <w:color w:val="auto"/>
          <w:sz w:val="32"/>
          <w:szCs w:val="32"/>
          <w:shd w:val="clear" w:color="auto" w:fill="auto"/>
        </w:rPr>
        <w:t>创建</w:t>
      </w:r>
      <w:r>
        <w:rPr>
          <w:rFonts w:hint="eastAsia" w:ascii="Times New Roman" w:hAnsi="Times New Roman" w:eastAsia="仿宋"/>
          <w:color w:val="auto"/>
          <w:sz w:val="32"/>
          <w:szCs w:val="32"/>
          <w:shd w:val="clear" w:color="auto" w:fill="auto"/>
          <w:lang w:eastAsia="zh-CN"/>
        </w:rPr>
        <w:t>的矿山</w:t>
      </w:r>
      <w:r>
        <w:rPr>
          <w:rFonts w:hint="eastAsia" w:ascii="Times New Roman" w:hAnsi="Times New Roman" w:eastAsia="仿宋"/>
          <w:color w:val="auto"/>
          <w:sz w:val="32"/>
          <w:szCs w:val="32"/>
          <w:shd w:val="clear" w:color="auto" w:fill="auto"/>
        </w:rPr>
        <w:t>企业</w:t>
      </w:r>
      <w:r>
        <w:rPr>
          <w:rFonts w:hint="eastAsia" w:ascii="Times New Roman" w:hAnsi="Times New Roman" w:eastAsia="仿宋"/>
          <w:color w:val="auto"/>
          <w:sz w:val="32"/>
          <w:szCs w:val="32"/>
          <w:shd w:val="clear" w:color="auto" w:fill="auto"/>
          <w:lang w:eastAsia="zh-CN"/>
        </w:rPr>
        <w:t>，</w:t>
      </w:r>
      <w:r>
        <w:rPr>
          <w:rFonts w:hint="eastAsia" w:ascii="Times New Roman" w:hAnsi="Times New Roman" w:eastAsia="仿宋"/>
          <w:color w:val="auto"/>
          <w:sz w:val="32"/>
          <w:szCs w:val="32"/>
          <w:shd w:val="clear" w:color="auto" w:fill="auto"/>
        </w:rPr>
        <w:t>按照新标准</w:t>
      </w:r>
      <w:r>
        <w:rPr>
          <w:rFonts w:hint="eastAsia" w:ascii="Times New Roman" w:hAnsi="Times New Roman" w:eastAsia="仿宋"/>
          <w:color w:val="auto"/>
          <w:sz w:val="32"/>
          <w:szCs w:val="32"/>
          <w:shd w:val="clear" w:color="auto" w:fill="auto"/>
          <w:lang w:eastAsia="zh-CN"/>
        </w:rPr>
        <w:t>科学规划建设</w:t>
      </w:r>
      <w:r>
        <w:rPr>
          <w:rFonts w:hint="eastAsia" w:ascii="Times New Roman" w:hAnsi="Times New Roman" w:eastAsia="仿宋"/>
          <w:color w:val="auto"/>
          <w:sz w:val="32"/>
          <w:szCs w:val="32"/>
          <w:shd w:val="clear" w:color="auto" w:fill="auto"/>
        </w:rPr>
        <w:t>工作。</w:t>
      </w:r>
    </w:p>
    <w:p w14:paraId="51271C19">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ascii="Times New Roman" w:hAnsi="Times New Roman" w:eastAsia="仿宋"/>
          <w:color w:val="auto"/>
          <w:sz w:val="32"/>
          <w:szCs w:val="32"/>
          <w:shd w:val="clear" w:color="auto" w:fill="auto"/>
        </w:rPr>
        <w:t>坚持创新驱动</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协同监管。发挥创新引领作用，</w:t>
      </w:r>
      <w:r>
        <w:rPr>
          <w:rFonts w:hint="eastAsia" w:ascii="Times New Roman" w:hAnsi="Times New Roman" w:eastAsia="仿宋"/>
          <w:color w:val="auto"/>
          <w:sz w:val="32"/>
          <w:szCs w:val="32"/>
          <w:shd w:val="clear" w:color="auto" w:fill="auto"/>
          <w:lang w:eastAsia="zh-CN"/>
        </w:rPr>
        <w:t>加快关键技术创新和绿色低碳装备升级改造</w:t>
      </w:r>
      <w:r>
        <w:rPr>
          <w:rFonts w:ascii="Times New Roman" w:hAnsi="Times New Roman" w:eastAsia="仿宋"/>
          <w:color w:val="auto"/>
          <w:sz w:val="32"/>
          <w:szCs w:val="32"/>
          <w:shd w:val="clear" w:color="auto" w:fill="auto"/>
        </w:rPr>
        <w:t>，加强相关部门间的协调联动，齐抓共管做好绿色矿山的日常监督，加强绿色矿山</w:t>
      </w:r>
      <w:r>
        <w:rPr>
          <w:rFonts w:hint="eastAsia" w:ascii="Times New Roman" w:hAnsi="Times New Roman" w:eastAsia="仿宋"/>
          <w:color w:val="auto"/>
          <w:sz w:val="32"/>
          <w:szCs w:val="32"/>
          <w:shd w:val="clear" w:color="auto" w:fill="auto"/>
        </w:rPr>
        <w:t>名录</w:t>
      </w:r>
      <w:r>
        <w:rPr>
          <w:rFonts w:ascii="Times New Roman" w:hAnsi="Times New Roman" w:eastAsia="仿宋"/>
          <w:color w:val="auto"/>
          <w:sz w:val="32"/>
          <w:szCs w:val="32"/>
          <w:shd w:val="clear" w:color="auto" w:fill="auto"/>
        </w:rPr>
        <w:t>的动态管理。</w:t>
      </w:r>
    </w:p>
    <w:p w14:paraId="46DB83D4">
      <w:pPr>
        <w:autoSpaceDE w:val="0"/>
        <w:autoSpaceDN w:val="0"/>
        <w:adjustRightInd w:val="0"/>
        <w:ind w:firstLine="640" w:firstLineChars="200"/>
        <w:outlineLvl w:val="0"/>
        <w:rPr>
          <w:rFonts w:ascii="Times New Roman" w:hAnsi="Times New Roman" w:eastAsia="黑体"/>
          <w:color w:val="auto"/>
          <w:sz w:val="32"/>
          <w:szCs w:val="32"/>
          <w:shd w:val="clear" w:color="auto" w:fill="auto"/>
        </w:rPr>
      </w:pPr>
      <w:r>
        <w:rPr>
          <w:rFonts w:ascii="Times New Roman" w:hAnsi="Times New Roman" w:eastAsia="黑体"/>
          <w:color w:val="auto"/>
          <w:sz w:val="32"/>
          <w:szCs w:val="32"/>
          <w:shd w:val="clear" w:color="auto" w:fill="auto"/>
        </w:rPr>
        <w:t>二、建设目标</w:t>
      </w:r>
      <w:bookmarkEnd w:id="3"/>
    </w:p>
    <w:p w14:paraId="24ED203F">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生产矿山要因地制宜、结合实际加快改造升级，逐步达到绿色矿山标准。到</w:t>
      </w:r>
      <w:r>
        <w:rPr>
          <w:rFonts w:ascii="Times New Roman" w:hAnsi="Times New Roman" w:eastAsia="仿宋"/>
          <w:color w:val="auto"/>
          <w:sz w:val="32"/>
          <w:szCs w:val="32"/>
          <w:shd w:val="clear" w:color="auto" w:fill="auto"/>
        </w:rPr>
        <w:t>2030年底，全省绿色矿山建设工作机制更加完善，</w:t>
      </w:r>
      <w:r>
        <w:rPr>
          <w:rFonts w:hint="eastAsia" w:ascii="Times New Roman" w:hAnsi="Times New Roman" w:eastAsia="仿宋"/>
          <w:color w:val="auto"/>
          <w:sz w:val="32"/>
          <w:szCs w:val="32"/>
          <w:shd w:val="clear" w:color="auto" w:fill="auto"/>
          <w:lang w:eastAsia="zh-CN"/>
        </w:rPr>
        <w:t>符合创建条件的矿山</w:t>
      </w:r>
      <w:r>
        <w:rPr>
          <w:rFonts w:ascii="Times New Roman" w:hAnsi="Times New Roman" w:eastAsia="仿宋"/>
          <w:color w:val="auto"/>
          <w:sz w:val="32"/>
          <w:szCs w:val="32"/>
          <w:shd w:val="clear" w:color="auto" w:fill="auto"/>
        </w:rPr>
        <w:t>全部编制绿色矿山建设规划并有序进行创建。大中小型持证在产矿山达标率，力争达到100%、90%和80%。</w:t>
      </w:r>
    </w:p>
    <w:p w14:paraId="5CACB24C">
      <w:pPr>
        <w:autoSpaceDE w:val="0"/>
        <w:autoSpaceDN w:val="0"/>
        <w:adjustRightInd w:val="0"/>
        <w:ind w:firstLine="640" w:firstLineChars="200"/>
        <w:outlineLvl w:val="0"/>
        <w:rPr>
          <w:rFonts w:ascii="Times New Roman" w:hAnsi="Times New Roman" w:eastAsia="黑体"/>
          <w:color w:val="auto"/>
          <w:sz w:val="32"/>
          <w:szCs w:val="32"/>
          <w:shd w:val="clear" w:color="auto" w:fill="auto"/>
        </w:rPr>
      </w:pPr>
      <w:bookmarkStart w:id="4" w:name="_Toc2691783"/>
      <w:r>
        <w:rPr>
          <w:rFonts w:ascii="Times New Roman" w:hAnsi="Times New Roman" w:eastAsia="黑体"/>
          <w:color w:val="auto"/>
          <w:sz w:val="32"/>
          <w:szCs w:val="32"/>
          <w:shd w:val="clear" w:color="auto" w:fill="auto"/>
        </w:rPr>
        <w:t>三、重点任务</w:t>
      </w:r>
      <w:bookmarkEnd w:id="4"/>
      <w:bookmarkStart w:id="5" w:name="_Toc2691784"/>
    </w:p>
    <w:p w14:paraId="672B8727">
      <w:pPr>
        <w:autoSpaceDE w:val="0"/>
        <w:autoSpaceDN w:val="0"/>
        <w:adjustRightInd w:val="0"/>
        <w:ind w:firstLine="640" w:firstLineChars="200"/>
        <w:rPr>
          <w:rFonts w:hint="eastAsia" w:ascii="楷体" w:hAnsi="楷体" w:eastAsia="楷体"/>
          <w:color w:val="auto"/>
          <w:sz w:val="32"/>
          <w:szCs w:val="32"/>
          <w:shd w:val="clear" w:color="auto" w:fill="auto"/>
          <w:lang w:eastAsia="zh-CN"/>
        </w:rPr>
      </w:pPr>
      <w:bookmarkStart w:id="6" w:name="_Toc485042232"/>
      <w:r>
        <w:rPr>
          <w:rFonts w:hint="eastAsia" w:ascii="楷体" w:hAnsi="楷体" w:eastAsia="楷体"/>
          <w:color w:val="auto"/>
          <w:sz w:val="32"/>
          <w:szCs w:val="32"/>
          <w:shd w:val="clear" w:color="auto" w:fill="auto"/>
          <w:lang w:eastAsia="zh-CN"/>
        </w:rPr>
        <w:t>（一）压实责任分类有序建设</w:t>
      </w:r>
    </w:p>
    <w:p w14:paraId="35A4B7FF">
      <w:pPr>
        <w:autoSpaceDE w:val="0"/>
        <w:autoSpaceDN w:val="0"/>
        <w:adjustRightInd w:val="0"/>
        <w:ind w:firstLine="640" w:firstLineChars="200"/>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依法从事矿产资源开发的矿山企业，是绿色矿山创建的责任主体，应当牢固树立和践行绿水青山就是金山银山理念，严格按照标准规范，在矿产资源开发全过程中，对矿区及周边生态环境扰动控制在可控范围内，建设矿区环境生态化、开采方式科学化、资源利用高效化、企业管理规范化、矿区社区和谐化的绿色矿山。新建矿山</w:t>
      </w:r>
      <w:r>
        <w:rPr>
          <w:rFonts w:hint="eastAsia" w:ascii="仿宋" w:hAnsi="仿宋" w:eastAsia="仿宋" w:cs="仿宋"/>
          <w:color w:val="auto"/>
          <w:sz w:val="32"/>
          <w:szCs w:val="32"/>
          <w:shd w:val="clear" w:color="auto" w:fill="auto"/>
          <w:lang w:eastAsia="zh-CN"/>
        </w:rPr>
        <w:t>和改扩建矿山</w:t>
      </w:r>
      <w:r>
        <w:rPr>
          <w:rFonts w:hint="eastAsia" w:ascii="仿宋" w:hAnsi="仿宋" w:eastAsia="仿宋" w:cs="仿宋"/>
          <w:color w:val="auto"/>
          <w:sz w:val="32"/>
          <w:szCs w:val="32"/>
          <w:shd w:val="clear" w:color="auto" w:fill="auto"/>
        </w:rPr>
        <w:t>，要严格按照绿色矿山标准建设运行，正式投产后1年内应通过绿色矿山评估核查，并在采矿权出让时将相关要求和违约责任纳入出让合同。</w:t>
      </w:r>
      <w:r>
        <w:rPr>
          <w:rFonts w:hint="eastAsia" w:ascii="仿宋" w:hAnsi="仿宋" w:eastAsia="仿宋" w:cs="仿宋"/>
          <w:color w:val="auto"/>
          <w:sz w:val="32"/>
          <w:szCs w:val="32"/>
          <w:shd w:val="clear" w:color="auto" w:fill="auto"/>
          <w:lang w:eastAsia="zh-CN"/>
        </w:rPr>
        <w:t>在</w:t>
      </w:r>
      <w:r>
        <w:rPr>
          <w:rFonts w:hint="eastAsia" w:ascii="仿宋" w:hAnsi="仿宋" w:eastAsia="仿宋" w:cs="仿宋"/>
          <w:color w:val="auto"/>
          <w:sz w:val="32"/>
          <w:szCs w:val="32"/>
          <w:shd w:val="clear" w:color="auto" w:fill="auto"/>
        </w:rPr>
        <w:t>产矿山，要加快绿色化升级改造，在办理延续、变更手续时，应明确绿色矿山建设时限和要求。</w:t>
      </w:r>
    </w:p>
    <w:p w14:paraId="322899F2">
      <w:pPr>
        <w:autoSpaceDE w:val="0"/>
        <w:autoSpaceDN w:val="0"/>
        <w:adjustRightInd w:val="0"/>
        <w:ind w:firstLine="640" w:firstLineChars="200"/>
        <w:rPr>
          <w:rFonts w:hint="eastAsia" w:ascii="楷体" w:hAnsi="楷体" w:eastAsia="楷体"/>
          <w:color w:val="auto"/>
          <w:sz w:val="32"/>
          <w:szCs w:val="32"/>
          <w:shd w:val="clear" w:color="auto" w:fill="auto"/>
          <w:lang w:eastAsia="zh-CN"/>
        </w:rPr>
      </w:pPr>
      <w:r>
        <w:rPr>
          <w:rFonts w:ascii="楷体" w:hAnsi="楷体" w:eastAsia="楷体"/>
          <w:color w:val="auto"/>
          <w:sz w:val="32"/>
          <w:szCs w:val="32"/>
          <w:shd w:val="clear" w:color="auto" w:fill="auto"/>
        </w:rPr>
        <w:t>（</w:t>
      </w:r>
      <w:r>
        <w:rPr>
          <w:rFonts w:hint="eastAsia" w:ascii="楷体" w:hAnsi="楷体" w:eastAsia="楷体"/>
          <w:color w:val="auto"/>
          <w:sz w:val="32"/>
          <w:szCs w:val="32"/>
          <w:shd w:val="clear" w:color="auto" w:fill="auto"/>
          <w:lang w:eastAsia="zh-CN"/>
        </w:rPr>
        <w:t>二</w:t>
      </w:r>
      <w:r>
        <w:rPr>
          <w:rFonts w:ascii="楷体" w:hAnsi="楷体" w:eastAsia="楷体"/>
          <w:color w:val="auto"/>
          <w:sz w:val="32"/>
          <w:szCs w:val="32"/>
          <w:shd w:val="clear" w:color="auto" w:fill="auto"/>
        </w:rPr>
        <w:t>）持续推动</w:t>
      </w:r>
      <w:r>
        <w:rPr>
          <w:rFonts w:hint="eastAsia" w:ascii="楷体" w:hAnsi="楷体" w:eastAsia="楷体"/>
          <w:color w:val="auto"/>
          <w:sz w:val="32"/>
          <w:szCs w:val="32"/>
          <w:shd w:val="clear" w:color="auto" w:fill="auto"/>
          <w:lang w:eastAsia="zh-CN"/>
        </w:rPr>
        <w:t>在产</w:t>
      </w:r>
      <w:r>
        <w:rPr>
          <w:rFonts w:ascii="楷体" w:hAnsi="楷体" w:eastAsia="楷体"/>
          <w:color w:val="auto"/>
          <w:sz w:val="32"/>
          <w:szCs w:val="32"/>
          <w:shd w:val="clear" w:color="auto" w:fill="auto"/>
        </w:rPr>
        <w:t>矿山</w:t>
      </w:r>
      <w:r>
        <w:rPr>
          <w:rFonts w:hint="eastAsia" w:ascii="楷体" w:hAnsi="楷体" w:eastAsia="楷体"/>
          <w:color w:val="auto"/>
          <w:sz w:val="32"/>
          <w:szCs w:val="32"/>
          <w:shd w:val="clear" w:color="auto" w:fill="auto"/>
          <w:lang w:eastAsia="zh-CN"/>
        </w:rPr>
        <w:t>全面创建</w:t>
      </w:r>
    </w:p>
    <w:p w14:paraId="45390FE5">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ascii="Times New Roman" w:hAnsi="Times New Roman" w:eastAsia="仿宋"/>
          <w:color w:val="auto"/>
          <w:sz w:val="32"/>
          <w:szCs w:val="32"/>
          <w:shd w:val="clear" w:color="auto" w:fill="auto"/>
        </w:rPr>
        <w:t>通过构建新机制，从制度体系、部门协同、三级联创、常态督导、全程跟踪管理</w:t>
      </w:r>
      <w:r>
        <w:rPr>
          <w:rFonts w:hint="eastAsia" w:ascii="Times New Roman" w:hAnsi="Times New Roman" w:eastAsia="仿宋"/>
          <w:color w:val="auto"/>
          <w:sz w:val="32"/>
          <w:szCs w:val="32"/>
          <w:shd w:val="clear" w:color="auto" w:fill="auto"/>
        </w:rPr>
        <w:t>等方面，</w:t>
      </w:r>
      <w:r>
        <w:rPr>
          <w:rFonts w:hint="eastAsia" w:ascii="Times New Roman" w:hAnsi="Times New Roman" w:eastAsia="仿宋"/>
          <w:color w:val="auto"/>
          <w:sz w:val="32"/>
          <w:szCs w:val="32"/>
          <w:shd w:val="clear" w:color="auto" w:fill="auto"/>
          <w:lang w:eastAsia="zh-CN"/>
        </w:rPr>
        <w:t>全省在产矿山科学制定规划，全部开展创建</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完成</w:t>
      </w:r>
      <w:r>
        <w:rPr>
          <w:rFonts w:hint="eastAsia" w:ascii="Times New Roman" w:hAnsi="Times New Roman" w:eastAsia="仿宋"/>
          <w:color w:val="auto"/>
          <w:sz w:val="32"/>
          <w:szCs w:val="32"/>
          <w:shd w:val="clear" w:color="auto" w:fill="auto"/>
          <w:lang w:eastAsia="zh-CN"/>
        </w:rPr>
        <w:t>创建</w:t>
      </w:r>
      <w:r>
        <w:rPr>
          <w:rFonts w:ascii="Times New Roman" w:hAnsi="Times New Roman" w:eastAsia="仿宋"/>
          <w:color w:val="auto"/>
          <w:sz w:val="32"/>
          <w:szCs w:val="32"/>
          <w:shd w:val="clear" w:color="auto" w:fill="auto"/>
        </w:rPr>
        <w:t>任务且自评估达到绿色矿山标准的</w:t>
      </w:r>
      <w:r>
        <w:rPr>
          <w:rFonts w:hint="eastAsia" w:ascii="Times New Roman" w:hAnsi="Times New Roman" w:eastAsia="仿宋"/>
          <w:color w:val="auto"/>
          <w:sz w:val="32"/>
          <w:szCs w:val="32"/>
          <w:shd w:val="clear" w:color="auto" w:fill="auto"/>
        </w:rPr>
        <w:t>矿山企业</w:t>
      </w:r>
      <w:r>
        <w:rPr>
          <w:rFonts w:ascii="Times New Roman" w:hAnsi="Times New Roman" w:eastAsia="仿宋"/>
          <w:color w:val="auto"/>
          <w:sz w:val="32"/>
          <w:szCs w:val="32"/>
          <w:shd w:val="clear" w:color="auto" w:fill="auto"/>
        </w:rPr>
        <w:t>，</w:t>
      </w:r>
      <w:r>
        <w:rPr>
          <w:rFonts w:hint="eastAsia" w:ascii="Times New Roman" w:hAnsi="Times New Roman" w:eastAsia="仿宋"/>
          <w:color w:val="auto"/>
          <w:sz w:val="32"/>
          <w:szCs w:val="32"/>
          <w:shd w:val="clear" w:color="auto" w:fill="auto"/>
        </w:rPr>
        <w:t>向县</w:t>
      </w:r>
      <w:r>
        <w:rPr>
          <w:rFonts w:ascii="Times New Roman" w:hAnsi="Times New Roman" w:eastAsia="仿宋"/>
          <w:color w:val="auto"/>
          <w:sz w:val="32"/>
          <w:szCs w:val="32"/>
          <w:shd w:val="clear" w:color="auto" w:fill="auto"/>
        </w:rPr>
        <w:t>（区）</w:t>
      </w:r>
      <w:r>
        <w:rPr>
          <w:rFonts w:hint="eastAsia" w:ascii="Times New Roman" w:hAnsi="Times New Roman" w:eastAsia="仿宋"/>
          <w:color w:val="auto"/>
          <w:sz w:val="32"/>
          <w:szCs w:val="32"/>
          <w:shd w:val="clear" w:color="auto" w:fill="auto"/>
          <w:lang w:eastAsia="zh-CN"/>
        </w:rPr>
        <w:t>级</w:t>
      </w:r>
      <w:r>
        <w:rPr>
          <w:rFonts w:ascii="Times New Roman" w:hAnsi="Times New Roman" w:eastAsia="仿宋"/>
          <w:color w:val="auto"/>
          <w:sz w:val="32"/>
          <w:szCs w:val="32"/>
          <w:shd w:val="clear" w:color="auto" w:fill="auto"/>
        </w:rPr>
        <w:t>自然资源主管部门提交</w:t>
      </w:r>
      <w:r>
        <w:rPr>
          <w:rFonts w:hint="eastAsia" w:ascii="Times New Roman" w:hAnsi="Times New Roman" w:eastAsia="仿宋"/>
          <w:color w:val="auto"/>
          <w:sz w:val="32"/>
          <w:szCs w:val="32"/>
          <w:shd w:val="clear" w:color="auto" w:fill="auto"/>
          <w:lang w:eastAsia="zh-CN"/>
        </w:rPr>
        <w:t>申请</w:t>
      </w:r>
      <w:r>
        <w:rPr>
          <w:rFonts w:ascii="Times New Roman" w:hAnsi="Times New Roman" w:eastAsia="仿宋"/>
          <w:color w:val="auto"/>
          <w:sz w:val="32"/>
          <w:szCs w:val="32"/>
          <w:shd w:val="clear" w:color="auto" w:fill="auto"/>
        </w:rPr>
        <w:t>，申报省级绿色矿山，矿山企业对自评估报告的真实性负责。</w:t>
      </w:r>
    </w:p>
    <w:p w14:paraId="5BDF583D">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ascii="楷体" w:hAnsi="楷体" w:eastAsia="楷体"/>
          <w:color w:val="auto"/>
          <w:sz w:val="32"/>
          <w:szCs w:val="32"/>
          <w:shd w:val="clear" w:color="auto" w:fill="auto"/>
        </w:rPr>
        <w:t>（</w:t>
      </w:r>
      <w:r>
        <w:rPr>
          <w:rFonts w:hint="eastAsia" w:ascii="楷体" w:hAnsi="楷体" w:eastAsia="楷体"/>
          <w:color w:val="auto"/>
          <w:sz w:val="32"/>
          <w:szCs w:val="32"/>
          <w:shd w:val="clear" w:color="auto" w:fill="auto"/>
          <w:lang w:eastAsia="zh-CN"/>
        </w:rPr>
        <w:t>三</w:t>
      </w:r>
      <w:r>
        <w:rPr>
          <w:rFonts w:ascii="楷体" w:hAnsi="楷体" w:eastAsia="楷体"/>
          <w:color w:val="auto"/>
          <w:sz w:val="32"/>
          <w:szCs w:val="32"/>
          <w:shd w:val="clear" w:color="auto" w:fill="auto"/>
        </w:rPr>
        <w:t>）有序提升绿色矿山建设水平</w:t>
      </w:r>
    </w:p>
    <w:p w14:paraId="47E3F538">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ascii="Times New Roman" w:hAnsi="Times New Roman" w:eastAsia="仿宋"/>
          <w:color w:val="auto"/>
          <w:sz w:val="32"/>
          <w:szCs w:val="32"/>
          <w:shd w:val="clear" w:color="auto" w:fill="auto"/>
        </w:rPr>
        <w:t>针对已</w:t>
      </w:r>
      <w:r>
        <w:rPr>
          <w:rFonts w:hint="eastAsia" w:ascii="Times New Roman" w:hAnsi="Times New Roman" w:eastAsia="仿宋"/>
          <w:color w:val="auto"/>
          <w:sz w:val="32"/>
          <w:szCs w:val="32"/>
          <w:shd w:val="clear" w:color="auto" w:fill="auto"/>
          <w:lang w:eastAsia="zh-CN"/>
        </w:rPr>
        <w:t>建成的绿色</w:t>
      </w:r>
      <w:r>
        <w:rPr>
          <w:rFonts w:ascii="Times New Roman" w:hAnsi="Times New Roman" w:eastAsia="仿宋"/>
          <w:color w:val="auto"/>
          <w:sz w:val="32"/>
          <w:szCs w:val="32"/>
          <w:shd w:val="clear" w:color="auto" w:fill="auto"/>
        </w:rPr>
        <w:t>矿山企业应主动对照相应行业规范和考评标准定期</w:t>
      </w:r>
      <w:r>
        <w:rPr>
          <w:rFonts w:hint="eastAsia" w:ascii="Times New Roman" w:hAnsi="Times New Roman" w:eastAsia="仿宋"/>
          <w:color w:val="auto"/>
          <w:sz w:val="32"/>
          <w:szCs w:val="32"/>
          <w:shd w:val="clear" w:color="auto" w:fill="auto"/>
          <w:lang w:eastAsia="zh-CN"/>
        </w:rPr>
        <w:t>评价</w:t>
      </w:r>
      <w:r>
        <w:rPr>
          <w:rFonts w:ascii="Times New Roman" w:hAnsi="Times New Roman" w:eastAsia="仿宋"/>
          <w:color w:val="auto"/>
          <w:sz w:val="32"/>
          <w:szCs w:val="32"/>
          <w:shd w:val="clear" w:color="auto" w:fill="auto"/>
        </w:rPr>
        <w:t>，及时发现问题短板，积极推动整改。矿山企业要加强绿色低碳技术工艺装备升级改造，在资源开发等</w:t>
      </w:r>
      <w:r>
        <w:rPr>
          <w:rFonts w:hint="eastAsia" w:ascii="Times New Roman" w:hAnsi="Times New Roman" w:eastAsia="仿宋"/>
          <w:color w:val="auto"/>
          <w:sz w:val="32"/>
          <w:szCs w:val="32"/>
          <w:shd w:val="clear" w:color="auto" w:fill="auto"/>
          <w:lang w:eastAsia="zh-CN"/>
        </w:rPr>
        <w:t>全链条各</w:t>
      </w:r>
      <w:r>
        <w:rPr>
          <w:rFonts w:ascii="Times New Roman" w:hAnsi="Times New Roman" w:eastAsia="仿宋"/>
          <w:color w:val="auto"/>
          <w:sz w:val="32"/>
          <w:szCs w:val="32"/>
          <w:shd w:val="clear" w:color="auto" w:fill="auto"/>
        </w:rPr>
        <w:t>环节，</w:t>
      </w:r>
      <w:r>
        <w:rPr>
          <w:rFonts w:hint="eastAsia" w:ascii="Times New Roman" w:hAnsi="Times New Roman" w:eastAsia="仿宋"/>
          <w:color w:val="auto"/>
          <w:sz w:val="32"/>
          <w:szCs w:val="32"/>
          <w:shd w:val="clear" w:color="auto" w:fill="auto"/>
          <w:lang w:eastAsia="zh-CN"/>
        </w:rPr>
        <w:t>优先</w:t>
      </w:r>
      <w:r>
        <w:rPr>
          <w:rFonts w:ascii="Times New Roman" w:hAnsi="Times New Roman" w:eastAsia="仿宋"/>
          <w:color w:val="auto"/>
          <w:sz w:val="32"/>
          <w:szCs w:val="32"/>
          <w:shd w:val="clear" w:color="auto" w:fill="auto"/>
        </w:rPr>
        <w:t>采用《国家重点推广的低碳技术目录》《矿产资源节约和综合利用先进适用技术目录》中的</w:t>
      </w:r>
      <w:r>
        <w:rPr>
          <w:rFonts w:hint="eastAsia" w:ascii="Times New Roman" w:hAnsi="Times New Roman" w:eastAsia="仿宋"/>
          <w:color w:val="auto"/>
          <w:sz w:val="32"/>
          <w:szCs w:val="32"/>
          <w:shd w:val="clear" w:color="auto" w:fill="auto"/>
          <w:lang w:eastAsia="zh-CN"/>
        </w:rPr>
        <w:t>先进</w:t>
      </w:r>
      <w:r>
        <w:rPr>
          <w:rFonts w:ascii="Times New Roman" w:hAnsi="Times New Roman" w:eastAsia="仿宋"/>
          <w:color w:val="auto"/>
          <w:sz w:val="32"/>
          <w:szCs w:val="32"/>
          <w:shd w:val="clear" w:color="auto" w:fill="auto"/>
        </w:rPr>
        <w:t>技术，推动矿山绿色低碳转型。加快融合5G、大数据、互联网、人工智能等信息化技术，推动矿山企业数字化、智能化、绿色化发展，提升资源开发利用与生产管理效率。</w:t>
      </w:r>
    </w:p>
    <w:bookmarkEnd w:id="5"/>
    <w:bookmarkEnd w:id="6"/>
    <w:p w14:paraId="11FEA180">
      <w:pPr>
        <w:autoSpaceDE w:val="0"/>
        <w:autoSpaceDN w:val="0"/>
        <w:adjustRightInd w:val="0"/>
        <w:ind w:firstLine="640" w:firstLineChars="200"/>
        <w:rPr>
          <w:rFonts w:ascii="楷体" w:hAnsi="楷体" w:eastAsia="楷体"/>
          <w:color w:val="auto"/>
          <w:sz w:val="32"/>
          <w:szCs w:val="32"/>
          <w:shd w:val="clear" w:color="auto" w:fill="auto"/>
        </w:rPr>
      </w:pPr>
      <w:bookmarkStart w:id="7" w:name="_Toc2691785"/>
      <w:r>
        <w:rPr>
          <w:rFonts w:ascii="楷体" w:hAnsi="楷体" w:eastAsia="楷体"/>
          <w:color w:val="auto"/>
          <w:sz w:val="32"/>
          <w:szCs w:val="32"/>
          <w:shd w:val="clear" w:color="auto" w:fill="auto"/>
        </w:rPr>
        <w:t>（</w:t>
      </w:r>
      <w:r>
        <w:rPr>
          <w:rFonts w:hint="eastAsia" w:ascii="楷体" w:hAnsi="楷体" w:eastAsia="楷体"/>
          <w:color w:val="auto"/>
          <w:sz w:val="32"/>
          <w:szCs w:val="32"/>
          <w:shd w:val="clear" w:color="auto" w:fill="auto"/>
          <w:lang w:eastAsia="zh-CN"/>
        </w:rPr>
        <w:t>四</w:t>
      </w:r>
      <w:r>
        <w:rPr>
          <w:rFonts w:ascii="楷体" w:hAnsi="楷体" w:eastAsia="楷体"/>
          <w:color w:val="auto"/>
          <w:sz w:val="32"/>
          <w:szCs w:val="32"/>
          <w:shd w:val="clear" w:color="auto" w:fill="auto"/>
        </w:rPr>
        <w:t>）健全</w:t>
      </w:r>
      <w:r>
        <w:rPr>
          <w:rFonts w:hint="eastAsia" w:ascii="楷体" w:hAnsi="楷体" w:eastAsia="楷体"/>
          <w:color w:val="auto"/>
          <w:sz w:val="32"/>
          <w:szCs w:val="32"/>
          <w:shd w:val="clear" w:color="auto" w:fill="auto"/>
        </w:rPr>
        <w:t>名录</w:t>
      </w:r>
      <w:r>
        <w:rPr>
          <w:rFonts w:ascii="楷体" w:hAnsi="楷体" w:eastAsia="楷体"/>
          <w:color w:val="auto"/>
          <w:sz w:val="32"/>
          <w:szCs w:val="32"/>
          <w:shd w:val="clear" w:color="auto" w:fill="auto"/>
        </w:rPr>
        <w:t>动态管理机制</w:t>
      </w:r>
    </w:p>
    <w:p w14:paraId="3B7B692C">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ascii="Times New Roman" w:hAnsi="Times New Roman" w:eastAsia="仿宋"/>
          <w:color w:val="auto"/>
          <w:sz w:val="32"/>
          <w:szCs w:val="32"/>
          <w:shd w:val="clear" w:color="auto" w:fill="auto"/>
        </w:rPr>
        <w:t>进一步完善创建库、</w:t>
      </w:r>
      <w:r>
        <w:rPr>
          <w:rFonts w:hint="eastAsia" w:ascii="Times New Roman" w:hAnsi="Times New Roman" w:eastAsia="仿宋"/>
          <w:color w:val="auto"/>
          <w:sz w:val="32"/>
          <w:szCs w:val="32"/>
          <w:shd w:val="clear" w:color="auto" w:fill="auto"/>
        </w:rPr>
        <w:t>名录</w:t>
      </w:r>
      <w:r>
        <w:rPr>
          <w:rFonts w:ascii="Times New Roman" w:hAnsi="Times New Roman" w:eastAsia="仿宋"/>
          <w:color w:val="auto"/>
          <w:sz w:val="32"/>
          <w:szCs w:val="32"/>
          <w:shd w:val="clear" w:color="auto" w:fill="auto"/>
        </w:rPr>
        <w:t>动态管理，建立</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有进有出</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的动态管理机制，符合标准条件的纳入省级</w:t>
      </w:r>
      <w:r>
        <w:rPr>
          <w:rFonts w:hint="eastAsia" w:ascii="Times New Roman" w:hAnsi="Times New Roman" w:eastAsia="仿宋"/>
          <w:color w:val="auto"/>
          <w:sz w:val="32"/>
          <w:szCs w:val="32"/>
          <w:shd w:val="clear" w:color="auto" w:fill="auto"/>
        </w:rPr>
        <w:t>名录</w:t>
      </w:r>
      <w:r>
        <w:rPr>
          <w:rFonts w:ascii="Times New Roman" w:hAnsi="Times New Roman" w:eastAsia="仿宋"/>
          <w:color w:val="auto"/>
          <w:sz w:val="32"/>
          <w:szCs w:val="32"/>
          <w:shd w:val="clear" w:color="auto" w:fill="auto"/>
        </w:rPr>
        <w:t>，对省级</w:t>
      </w:r>
      <w:r>
        <w:rPr>
          <w:rFonts w:hint="eastAsia" w:ascii="Times New Roman" w:hAnsi="Times New Roman" w:eastAsia="仿宋"/>
          <w:color w:val="auto"/>
          <w:sz w:val="32"/>
          <w:szCs w:val="32"/>
          <w:shd w:val="clear" w:color="auto" w:fill="auto"/>
        </w:rPr>
        <w:t>名录</w:t>
      </w:r>
      <w:r>
        <w:rPr>
          <w:rFonts w:ascii="Times New Roman" w:hAnsi="Times New Roman" w:eastAsia="仿宋"/>
          <w:color w:val="auto"/>
          <w:sz w:val="32"/>
          <w:szCs w:val="32"/>
          <w:shd w:val="clear" w:color="auto" w:fill="auto"/>
        </w:rPr>
        <w:t>中不符合绿色矿山标准的要及时按程序移出，被移出全国绿色矿山名录的矿山企业，</w:t>
      </w:r>
      <w:r>
        <w:rPr>
          <w:rFonts w:hint="eastAsia" w:ascii="Times New Roman" w:hAnsi="Times New Roman" w:eastAsia="仿宋"/>
          <w:color w:val="auto"/>
          <w:sz w:val="32"/>
          <w:szCs w:val="32"/>
          <w:shd w:val="clear" w:color="auto" w:fill="auto"/>
          <w:lang w:eastAsia="zh-CN"/>
        </w:rPr>
        <w:t>自移出之日起</w:t>
      </w:r>
      <w:r>
        <w:rPr>
          <w:rFonts w:ascii="Times New Roman" w:hAnsi="Times New Roman" w:eastAsia="仿宋"/>
          <w:color w:val="auto"/>
          <w:sz w:val="32"/>
          <w:szCs w:val="32"/>
          <w:shd w:val="clear" w:color="auto" w:fill="auto"/>
        </w:rPr>
        <w:t>3年内不得申报国家级绿色矿山。被移出省级绿色矿山</w:t>
      </w:r>
      <w:r>
        <w:rPr>
          <w:rFonts w:hint="eastAsia" w:ascii="Times New Roman" w:hAnsi="Times New Roman" w:eastAsia="仿宋"/>
          <w:color w:val="auto"/>
          <w:sz w:val="32"/>
          <w:szCs w:val="32"/>
          <w:shd w:val="clear" w:color="auto" w:fill="auto"/>
        </w:rPr>
        <w:t>名录</w:t>
      </w:r>
      <w:r>
        <w:rPr>
          <w:rFonts w:ascii="Times New Roman" w:hAnsi="Times New Roman" w:eastAsia="仿宋"/>
          <w:color w:val="auto"/>
          <w:sz w:val="32"/>
          <w:szCs w:val="32"/>
          <w:shd w:val="clear" w:color="auto" w:fill="auto"/>
        </w:rPr>
        <w:t>的矿山企业，</w:t>
      </w:r>
      <w:r>
        <w:rPr>
          <w:rFonts w:hint="eastAsia" w:ascii="Times New Roman" w:hAnsi="Times New Roman" w:eastAsia="仿宋"/>
          <w:color w:val="auto"/>
          <w:sz w:val="32"/>
          <w:szCs w:val="32"/>
          <w:shd w:val="clear" w:color="auto" w:fill="auto"/>
          <w:lang w:eastAsia="zh-CN"/>
        </w:rPr>
        <w:t>除已注销关闭矿山外，原则上应在</w:t>
      </w:r>
      <w:r>
        <w:rPr>
          <w:rFonts w:hint="eastAsia" w:ascii="Times New Roman" w:hAnsi="Times New Roman" w:eastAsia="仿宋"/>
          <w:color w:val="auto"/>
          <w:sz w:val="32"/>
          <w:szCs w:val="32"/>
          <w:shd w:val="clear" w:color="auto" w:fill="auto"/>
          <w:lang w:val="en-US" w:eastAsia="zh-CN"/>
        </w:rPr>
        <w:t>1-2年完成问题的整改</w:t>
      </w:r>
      <w:r>
        <w:rPr>
          <w:rFonts w:ascii="Times New Roman" w:hAnsi="Times New Roman" w:eastAsia="仿宋"/>
          <w:color w:val="auto"/>
          <w:sz w:val="32"/>
          <w:szCs w:val="32"/>
          <w:shd w:val="clear" w:color="auto" w:fill="auto"/>
        </w:rPr>
        <w:t>。</w:t>
      </w:r>
      <w:r>
        <w:rPr>
          <w:rFonts w:hint="eastAsia" w:ascii="Times New Roman" w:hAnsi="Times New Roman" w:eastAsia="仿宋"/>
          <w:color w:val="auto"/>
          <w:sz w:val="32"/>
          <w:szCs w:val="32"/>
          <w:shd w:val="clear" w:color="auto" w:fill="auto"/>
          <w:lang w:eastAsia="zh-CN"/>
        </w:rPr>
        <w:t>整改完成</w:t>
      </w:r>
      <w:r>
        <w:rPr>
          <w:rFonts w:ascii="Times New Roman" w:hAnsi="Times New Roman" w:eastAsia="仿宋"/>
          <w:color w:val="auto"/>
          <w:sz w:val="32"/>
          <w:szCs w:val="32"/>
          <w:shd w:val="clear" w:color="auto" w:fill="auto"/>
        </w:rPr>
        <w:t>后，按照绿色矿山标准要求、</w:t>
      </w:r>
      <w:r>
        <w:rPr>
          <w:rFonts w:hint="eastAsia" w:ascii="Times New Roman" w:hAnsi="Times New Roman" w:eastAsia="仿宋"/>
          <w:color w:val="auto"/>
          <w:sz w:val="32"/>
          <w:szCs w:val="32"/>
          <w:shd w:val="clear" w:color="auto" w:fill="auto"/>
          <w:lang w:eastAsia="zh-CN"/>
        </w:rPr>
        <w:t>遴</w:t>
      </w:r>
      <w:r>
        <w:rPr>
          <w:rFonts w:ascii="Times New Roman" w:hAnsi="Times New Roman" w:eastAsia="仿宋"/>
          <w:color w:val="auto"/>
          <w:sz w:val="32"/>
          <w:szCs w:val="32"/>
          <w:shd w:val="clear" w:color="auto" w:fill="auto"/>
        </w:rPr>
        <w:t>选流程重新申报。对于符合国家级绿色矿山名录要求</w:t>
      </w:r>
      <w:r>
        <w:rPr>
          <w:rFonts w:hint="eastAsia" w:ascii="Times New Roman" w:hAnsi="Times New Roman" w:eastAsia="仿宋"/>
          <w:color w:val="auto"/>
          <w:sz w:val="32"/>
          <w:szCs w:val="32"/>
          <w:shd w:val="clear" w:color="auto" w:fill="auto"/>
          <w:lang w:val="en-US" w:eastAsia="zh-CN"/>
        </w:rPr>
        <w:t xml:space="preserve"> </w:t>
      </w:r>
      <w:r>
        <w:rPr>
          <w:rFonts w:ascii="Times New Roman" w:hAnsi="Times New Roman" w:eastAsia="仿宋"/>
          <w:color w:val="auto"/>
          <w:sz w:val="32"/>
          <w:szCs w:val="32"/>
          <w:shd w:val="clear" w:color="auto" w:fill="auto"/>
        </w:rPr>
        <w:t>的，按照有关要求从省级绿色矿山</w:t>
      </w:r>
      <w:r>
        <w:rPr>
          <w:rFonts w:hint="eastAsia" w:ascii="Times New Roman" w:hAnsi="Times New Roman" w:eastAsia="仿宋"/>
          <w:color w:val="auto"/>
          <w:sz w:val="32"/>
          <w:szCs w:val="32"/>
          <w:shd w:val="clear" w:color="auto" w:fill="auto"/>
        </w:rPr>
        <w:t>名录</w:t>
      </w:r>
      <w:r>
        <w:rPr>
          <w:rFonts w:ascii="Times New Roman" w:hAnsi="Times New Roman" w:eastAsia="仿宋"/>
          <w:color w:val="auto"/>
          <w:sz w:val="32"/>
          <w:szCs w:val="32"/>
          <w:shd w:val="clear" w:color="auto" w:fill="auto"/>
        </w:rPr>
        <w:t>中择优</w:t>
      </w:r>
      <w:r>
        <w:rPr>
          <w:rFonts w:hint="eastAsia" w:ascii="Times New Roman" w:hAnsi="Times New Roman" w:eastAsia="仿宋"/>
          <w:color w:val="auto"/>
          <w:sz w:val="32"/>
          <w:szCs w:val="32"/>
          <w:shd w:val="clear" w:color="auto" w:fill="auto"/>
        </w:rPr>
        <w:t>遴选</w:t>
      </w:r>
      <w:r>
        <w:rPr>
          <w:rFonts w:ascii="Times New Roman" w:hAnsi="Times New Roman" w:eastAsia="仿宋"/>
          <w:color w:val="auto"/>
          <w:sz w:val="32"/>
          <w:szCs w:val="32"/>
          <w:shd w:val="clear" w:color="auto" w:fill="auto"/>
        </w:rPr>
        <w:t>推荐。</w:t>
      </w:r>
    </w:p>
    <w:bookmarkEnd w:id="7"/>
    <w:p w14:paraId="466329D5">
      <w:pPr>
        <w:autoSpaceDE w:val="0"/>
        <w:autoSpaceDN w:val="0"/>
        <w:adjustRightInd w:val="0"/>
        <w:ind w:firstLine="640" w:firstLineChars="200"/>
        <w:rPr>
          <w:rFonts w:ascii="楷体" w:hAnsi="楷体" w:eastAsia="楷体"/>
          <w:color w:val="auto"/>
          <w:sz w:val="32"/>
          <w:szCs w:val="32"/>
          <w:shd w:val="clear" w:color="auto" w:fill="auto"/>
        </w:rPr>
      </w:pPr>
      <w:bookmarkStart w:id="8" w:name="_Toc2691787"/>
      <w:r>
        <w:rPr>
          <w:rFonts w:ascii="楷体" w:hAnsi="楷体" w:eastAsia="楷体"/>
          <w:color w:val="auto"/>
          <w:sz w:val="32"/>
          <w:szCs w:val="32"/>
          <w:shd w:val="clear" w:color="auto" w:fill="auto"/>
        </w:rPr>
        <w:t>（</w:t>
      </w:r>
      <w:r>
        <w:rPr>
          <w:rFonts w:hint="eastAsia" w:ascii="楷体" w:hAnsi="楷体" w:eastAsia="楷体"/>
          <w:color w:val="auto"/>
          <w:sz w:val="32"/>
          <w:szCs w:val="32"/>
          <w:shd w:val="clear" w:color="auto" w:fill="auto"/>
          <w:lang w:eastAsia="zh-CN"/>
        </w:rPr>
        <w:t>五</w:t>
      </w:r>
      <w:r>
        <w:rPr>
          <w:rFonts w:ascii="楷体" w:hAnsi="楷体" w:eastAsia="楷体"/>
          <w:color w:val="auto"/>
          <w:sz w:val="32"/>
          <w:szCs w:val="32"/>
          <w:shd w:val="clear" w:color="auto" w:fill="auto"/>
        </w:rPr>
        <w:t>）</w:t>
      </w:r>
      <w:bookmarkEnd w:id="8"/>
      <w:bookmarkStart w:id="9" w:name="_Toc2691788"/>
      <w:r>
        <w:rPr>
          <w:rFonts w:ascii="楷体" w:hAnsi="楷体" w:eastAsia="楷体"/>
          <w:color w:val="auto"/>
          <w:sz w:val="32"/>
          <w:szCs w:val="32"/>
          <w:shd w:val="clear" w:color="auto" w:fill="auto"/>
        </w:rPr>
        <w:t>积极引导科技创新转型升级</w:t>
      </w:r>
    </w:p>
    <w:p w14:paraId="40A06B97">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ascii="Times New Roman" w:hAnsi="Times New Roman" w:eastAsia="仿宋"/>
          <w:color w:val="auto"/>
          <w:sz w:val="32"/>
          <w:szCs w:val="32"/>
          <w:shd w:val="clear" w:color="auto" w:fill="auto"/>
        </w:rPr>
        <w:t>坚持创新驱动，推动建立企业为主体、市场为导向、产学研相结合的科技创新体系，加快探、采、选、冶、应用、回收等领域的理论研究以及先进工艺、先进设备、关键技术的研发，提高科技成果转移转化成效，促进新技术产业化、规模化应用。推动数字化矿山建设，鼓励矿山企业采用计算机和智能控制等技术建设智慧矿山，逐步实现矿山开采机械化、选矿工艺自动化和关键生产工艺流程数控化。提高矿山企业在地质测量、资源储量、采选、运输、节约与综合利用、生态环境保护等方面信息化管理水平。</w:t>
      </w:r>
    </w:p>
    <w:p w14:paraId="7286270D">
      <w:pPr>
        <w:autoSpaceDE w:val="0"/>
        <w:autoSpaceDN w:val="0"/>
        <w:adjustRightInd w:val="0"/>
        <w:ind w:firstLine="640" w:firstLineChars="200"/>
        <w:outlineLvl w:val="0"/>
        <w:rPr>
          <w:rFonts w:ascii="Times New Roman" w:hAnsi="Times New Roman" w:eastAsia="黑体"/>
          <w:color w:val="auto"/>
          <w:sz w:val="32"/>
          <w:szCs w:val="32"/>
          <w:shd w:val="clear" w:color="auto" w:fill="auto"/>
        </w:rPr>
      </w:pPr>
      <w:r>
        <w:rPr>
          <w:rFonts w:ascii="Times New Roman" w:hAnsi="Times New Roman" w:eastAsia="黑体"/>
          <w:color w:val="auto"/>
          <w:sz w:val="32"/>
          <w:szCs w:val="32"/>
          <w:shd w:val="clear" w:color="auto" w:fill="auto"/>
        </w:rPr>
        <w:t>四、政策措施</w:t>
      </w:r>
      <w:bookmarkEnd w:id="9"/>
    </w:p>
    <w:p w14:paraId="2632A692">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ascii="Times New Roman" w:hAnsi="Times New Roman" w:eastAsia="仿宋"/>
          <w:color w:val="auto"/>
          <w:sz w:val="32"/>
          <w:szCs w:val="32"/>
          <w:shd w:val="clear" w:color="auto" w:fill="auto"/>
        </w:rPr>
        <w:t>各地要结合地方实际，落实用矿、用地、财税、金融支持政策，鼓励矿山企业积极创建绿色矿山，支持绿色矿山企业合理有序扩大生产。同时，依法采取约束措施，督促矿山企业如期完成创建任务。</w:t>
      </w:r>
    </w:p>
    <w:p w14:paraId="25BE489F">
      <w:pPr>
        <w:autoSpaceDE w:val="0"/>
        <w:autoSpaceDN w:val="0"/>
        <w:adjustRightInd w:val="0"/>
        <w:ind w:firstLine="640" w:firstLineChars="200"/>
        <w:rPr>
          <w:rFonts w:ascii="楷体" w:hAnsi="楷体" w:eastAsia="楷体"/>
          <w:color w:val="auto"/>
          <w:sz w:val="32"/>
          <w:szCs w:val="32"/>
          <w:shd w:val="clear" w:color="auto" w:fill="auto"/>
        </w:rPr>
      </w:pPr>
      <w:r>
        <w:rPr>
          <w:rFonts w:hint="eastAsia" w:ascii="楷体" w:hAnsi="楷体" w:eastAsia="楷体"/>
          <w:color w:val="auto"/>
          <w:sz w:val="32"/>
          <w:szCs w:val="32"/>
          <w:shd w:val="clear" w:color="auto" w:fill="auto"/>
        </w:rPr>
        <w:t>（</w:t>
      </w:r>
      <w:r>
        <w:rPr>
          <w:rFonts w:ascii="楷体" w:hAnsi="楷体" w:eastAsia="楷体"/>
          <w:color w:val="auto"/>
          <w:sz w:val="32"/>
          <w:szCs w:val="32"/>
          <w:shd w:val="clear" w:color="auto" w:fill="auto"/>
        </w:rPr>
        <w:t>一</w:t>
      </w:r>
      <w:r>
        <w:rPr>
          <w:rFonts w:hint="eastAsia" w:ascii="楷体" w:hAnsi="楷体" w:eastAsia="楷体"/>
          <w:color w:val="auto"/>
          <w:sz w:val="32"/>
          <w:szCs w:val="32"/>
          <w:shd w:val="clear" w:color="auto" w:fill="auto"/>
        </w:rPr>
        <w:t>）</w:t>
      </w:r>
      <w:r>
        <w:rPr>
          <w:rFonts w:ascii="楷体" w:hAnsi="楷体" w:eastAsia="楷体"/>
          <w:color w:val="auto"/>
          <w:sz w:val="32"/>
          <w:szCs w:val="32"/>
          <w:shd w:val="clear" w:color="auto" w:fill="auto"/>
        </w:rPr>
        <w:t>支持政策</w:t>
      </w:r>
    </w:p>
    <w:p w14:paraId="174E276F">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ascii="Times New Roman" w:hAnsi="Times New Roman" w:eastAsia="仿宋"/>
          <w:color w:val="auto"/>
          <w:sz w:val="32"/>
          <w:szCs w:val="32"/>
          <w:shd w:val="clear" w:color="auto" w:fill="auto"/>
        </w:rPr>
        <w:t>1</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土地矿产支持政策</w:t>
      </w:r>
    </w:p>
    <w:p w14:paraId="73546D85">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1</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鼓励大中型绿色矿山企业以兼并、重组、收购、合资、合作等方式整合周边小型矿山企业，提高资源集约节约利用水平。以招拍挂方式出让的矿业权，各地区在制定出让方案时，应将绿色矿山建设作为重要评分因素。</w:t>
      </w:r>
      <w:bookmarkStart w:id="10" w:name="_Toc2691793"/>
    </w:p>
    <w:p w14:paraId="58DFB991">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2</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在国土空间规划编制中，可将省级绿色矿山创建库中矿山企业的绿色矿山建设急需用地纳入国土空间规划予以支持。对于绿色矿门企业的采矿用地，在依法办理建设用地手续后，可以采取协议出让、租赁或先租后让方式。允许依据矿山生产周期、开采年限，在法定最高出让年限内，灵活选择土地使用权出让年期，实行弹性出让，并可在土地出让合同中依法约定分期缴纳土地出让价款。</w:t>
      </w:r>
    </w:p>
    <w:p w14:paraId="764249C2">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3</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绿色矿山企业将依法取得的存量工矿用地复垦盘活为农用地并验收合格后，腾退的建设用地指标可以优先用于生态保护产业发展，节余指标可以按照城乡建设用地增减挂钩政策，在省域范围内流转使用。在符合规划和生态要求的前提下，允许对历史遗留的工矿废弃地进行复垦，将复垦后增加的符合入库标准的耕地用于耕地占补平衡。</w:t>
      </w:r>
    </w:p>
    <w:p w14:paraId="5FE8108F">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4</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绿色矿山企业申请办理用地和矿业权审批登记时，可享受绿色通道。在办理建设用地审批手续时，对于建设项目批准、核准或备案材料实行承诺制容缺受理</w:t>
      </w:r>
      <w:r>
        <w:rPr>
          <w:rFonts w:hint="eastAsia" w:ascii="Times New Roman" w:hAnsi="Times New Roman" w:eastAsia="仿宋"/>
          <w:color w:val="auto"/>
          <w:sz w:val="32"/>
          <w:szCs w:val="32"/>
          <w:shd w:val="clear" w:color="auto" w:fill="auto"/>
        </w:rPr>
        <w:t>；在办理省级发证权限的矿业权出让收益分期缴纳审批业务中，由省自然资源厅授权市级自然资源部门按照《关于印发《辽宁省矿业权出让收益征收办法》的通知》（辽财税规〔</w:t>
      </w:r>
      <w:r>
        <w:rPr>
          <w:rFonts w:ascii="Times New Roman" w:hAnsi="Times New Roman" w:eastAsia="仿宋"/>
          <w:color w:val="auto"/>
          <w:sz w:val="32"/>
          <w:szCs w:val="32"/>
          <w:shd w:val="clear" w:color="auto" w:fill="auto"/>
        </w:rPr>
        <w:t>2024〕2号）相关规定审核批准，报省自然资源厅备案后执行。</w:t>
      </w:r>
    </w:p>
    <w:p w14:paraId="11FEBF34">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ascii="Times New Roman" w:hAnsi="Times New Roman" w:eastAsia="仿宋"/>
          <w:color w:val="auto"/>
          <w:sz w:val="32"/>
          <w:szCs w:val="32"/>
          <w:shd w:val="clear" w:color="auto" w:fill="auto"/>
        </w:rPr>
        <w:t>2</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财税支持政策</w:t>
      </w:r>
    </w:p>
    <w:p w14:paraId="026E3DD3">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1</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纳入省级绿色矿山创建库的矿山企业，在创建过程中可以提前使用已经计提的矿山环境治理恢复基金，但不得影响完成年度矿山地质环境治理恢复任务。</w:t>
      </w:r>
    </w:p>
    <w:p w14:paraId="4E5B0224">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2</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省政府对国家级和省级绿色矿山实行奖励制度，对建成国家级绿色矿山的一次性奖励矿山企业15万元，建成省级绿色矿山的一次性奖励矿山企业10万元。由省级绿色矿山晋级为国家级绿色矿山的，一次性补充奖励矿山企业5万元。</w:t>
      </w:r>
    </w:p>
    <w:p w14:paraId="3AB925D5">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3</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国家级和省级绿色矿山的单个矿山开采尾矿提取的矿产品免征收资源税。</w:t>
      </w:r>
    </w:p>
    <w:p w14:paraId="1E0C6385">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4</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市、县级政府可统筹安排地质矿产、矿山环境治理、重金属污染防治、土地复垦、综合利用、节能减排、智慧矿山建设等方面资金，优先支持符合条件的矿山开展绿色矿山创建工作。对已建成的绿色矿山，可结合本地实际实行奖励制度。</w:t>
      </w:r>
    </w:p>
    <w:p w14:paraId="0B1D3EEF">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ascii="Times New Roman" w:hAnsi="Times New Roman" w:eastAsia="仿宋"/>
          <w:color w:val="auto"/>
          <w:sz w:val="32"/>
          <w:szCs w:val="32"/>
          <w:shd w:val="clear" w:color="auto" w:fill="auto"/>
        </w:rPr>
        <w:t>3</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金融支持政策</w:t>
      </w:r>
    </w:p>
    <w:p w14:paraId="6AF9A858">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1</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市、县级政府要加强对绿色矿山企业的绿色信贷支持，将绿色矿山企业信息纳入矿山征信系统，作为银行业金融机构办理信贷业务和其他金融业务的重要参考。</w:t>
      </w:r>
    </w:p>
    <w:p w14:paraId="548C676B">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2</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鼓励市、县级政府性融资担保机构积极为绿色矿山企业和建设项目提供融资担保、增信服务，自然资源部门要为政府性融资担保机构办理矿权质押手续等开通绿色审批通道。</w:t>
      </w:r>
    </w:p>
    <w:p w14:paraId="6925EBB5">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3</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积极支持符合条件的绿色矿山企业赴北京、上海、深圳证券交易所上市，以及在</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新三板</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和区域股权市场挂牌融资、并购重组，促进矿山企业高质量发展。</w:t>
      </w:r>
    </w:p>
    <w:p w14:paraId="4578AEBA">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4、矿业权出让政策</w:t>
      </w:r>
    </w:p>
    <w:p w14:paraId="37839296">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对于国家级绿色矿山、采用先进开采选冶技术矿山和矿产资源开发利用水平领先矿山（普通建筑用砂石土类矿产除外），符合已设采矿权周边、夹缝协议出让情形的，允许优先以协议出让方式有偿出让给绿色矿山企业。在整合区域矿业权时，绿色矿山企业具有作为整合主体的优先权。对绿色矿山建设进度较快、占比较高的市、县（市、区），在矿产勘查方面予以倾斜安排。</w:t>
      </w:r>
    </w:p>
    <w:p w14:paraId="0AA1EABD">
      <w:pPr>
        <w:autoSpaceDE w:val="0"/>
        <w:autoSpaceDN w:val="0"/>
        <w:adjustRightInd w:val="0"/>
        <w:ind w:firstLine="640" w:firstLineChars="200"/>
        <w:rPr>
          <w:rFonts w:ascii="楷体" w:hAnsi="楷体" w:eastAsia="楷体"/>
          <w:color w:val="auto"/>
          <w:sz w:val="32"/>
          <w:szCs w:val="32"/>
          <w:shd w:val="clear" w:color="auto" w:fill="auto"/>
        </w:rPr>
      </w:pPr>
      <w:r>
        <w:rPr>
          <w:rFonts w:hint="eastAsia" w:ascii="楷体" w:hAnsi="楷体" w:eastAsia="楷体"/>
          <w:color w:val="auto"/>
          <w:sz w:val="32"/>
          <w:szCs w:val="32"/>
          <w:shd w:val="clear" w:color="auto" w:fill="auto"/>
        </w:rPr>
        <w:t>（</w:t>
      </w:r>
      <w:r>
        <w:rPr>
          <w:rFonts w:ascii="楷体" w:hAnsi="楷体" w:eastAsia="楷体"/>
          <w:color w:val="auto"/>
          <w:sz w:val="32"/>
          <w:szCs w:val="32"/>
          <w:shd w:val="clear" w:color="auto" w:fill="auto"/>
        </w:rPr>
        <w:t>二</w:t>
      </w:r>
      <w:r>
        <w:rPr>
          <w:rFonts w:hint="eastAsia" w:ascii="楷体" w:hAnsi="楷体" w:eastAsia="楷体"/>
          <w:color w:val="auto"/>
          <w:sz w:val="32"/>
          <w:szCs w:val="32"/>
          <w:shd w:val="clear" w:color="auto" w:fill="auto"/>
        </w:rPr>
        <w:t>）</w:t>
      </w:r>
      <w:r>
        <w:rPr>
          <w:rFonts w:ascii="楷体" w:hAnsi="楷体" w:eastAsia="楷体"/>
          <w:color w:val="auto"/>
          <w:sz w:val="32"/>
          <w:szCs w:val="32"/>
          <w:shd w:val="clear" w:color="auto" w:fill="auto"/>
        </w:rPr>
        <w:t>约束措施</w:t>
      </w:r>
    </w:p>
    <w:p w14:paraId="68842439">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矿山企业未编制《绿色矿山建设规划》、</w:t>
      </w:r>
      <w:r>
        <w:rPr>
          <w:rFonts w:ascii="Times New Roman" w:hAnsi="Times New Roman" w:eastAsia="仿宋"/>
          <w:color w:val="auto"/>
          <w:sz w:val="32"/>
          <w:szCs w:val="32"/>
          <w:shd w:val="clear" w:color="auto" w:fill="auto"/>
        </w:rPr>
        <w:t>未按《绿色矿山建设规划》完成年度创建任务的，由县级自然资源部门责令限期整改。拒不整改的，可依据相关规定按程序将矿业权人列入异常名录。市、县级政府在组织联合检查中，对发现存在违规违法问题的矿山企业，应组织相关部门依据相关法律法规给予停产整顿、不予延续和关闭等措施处理。涉嫌犯罪的，依法移送司法机关。对于长期停产且根本不具备绿色矿山建设能力的，由市、县级政府组织相关部门依法采取有效措施引导其逐步退出市场。</w:t>
      </w:r>
    </w:p>
    <w:p w14:paraId="37445700">
      <w:pPr>
        <w:autoSpaceDE w:val="0"/>
        <w:autoSpaceDN w:val="0"/>
        <w:adjustRightInd w:val="0"/>
        <w:ind w:firstLine="640" w:firstLineChars="200"/>
        <w:outlineLvl w:val="0"/>
        <w:rPr>
          <w:rFonts w:ascii="Times New Roman" w:hAnsi="Times New Roman" w:eastAsia="黑体"/>
          <w:color w:val="auto"/>
          <w:sz w:val="32"/>
          <w:szCs w:val="32"/>
          <w:shd w:val="clear" w:color="auto" w:fill="auto"/>
        </w:rPr>
      </w:pPr>
      <w:r>
        <w:rPr>
          <w:rFonts w:hint="eastAsia" w:ascii="Times New Roman" w:hAnsi="Times New Roman" w:eastAsia="黑体"/>
          <w:color w:val="auto"/>
          <w:sz w:val="32"/>
          <w:szCs w:val="32"/>
          <w:shd w:val="clear" w:color="auto" w:fill="auto"/>
        </w:rPr>
        <w:t>五、健全工作机制</w:t>
      </w:r>
    </w:p>
    <w:p w14:paraId="2D2C4CC1">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各部门</w:t>
      </w:r>
      <w:r>
        <w:rPr>
          <w:rFonts w:hint="eastAsia" w:ascii="Times New Roman" w:hAnsi="Times New Roman" w:eastAsia="仿宋"/>
          <w:color w:val="auto"/>
          <w:sz w:val="32"/>
          <w:szCs w:val="32"/>
          <w:shd w:val="clear" w:color="auto" w:fill="auto"/>
          <w:lang w:eastAsia="zh-CN"/>
        </w:rPr>
        <w:t>应加强沟通协调</w:t>
      </w:r>
      <w:r>
        <w:rPr>
          <w:rFonts w:hint="eastAsia" w:ascii="Times New Roman" w:hAnsi="Times New Roman" w:eastAsia="仿宋"/>
          <w:color w:val="auto"/>
          <w:sz w:val="32"/>
          <w:szCs w:val="32"/>
          <w:shd w:val="clear" w:color="auto" w:fill="auto"/>
        </w:rPr>
        <w:t>，加强绿色矿山动态监管，及时</w:t>
      </w:r>
      <w:r>
        <w:rPr>
          <w:rFonts w:hint="eastAsia" w:ascii="Times New Roman" w:hAnsi="Times New Roman" w:eastAsia="仿宋"/>
          <w:color w:val="auto"/>
          <w:sz w:val="32"/>
          <w:szCs w:val="32"/>
          <w:shd w:val="clear" w:color="auto" w:fill="auto"/>
          <w:lang w:eastAsia="zh-CN"/>
        </w:rPr>
        <w:t>共享相关监管信息</w:t>
      </w:r>
      <w:r>
        <w:rPr>
          <w:rFonts w:hint="eastAsia" w:ascii="Times New Roman" w:hAnsi="Times New Roman" w:eastAsia="仿宋"/>
          <w:color w:val="auto"/>
          <w:sz w:val="32"/>
          <w:szCs w:val="32"/>
          <w:shd w:val="clear" w:color="auto" w:fill="auto"/>
        </w:rPr>
        <w:t>。发现违法违规问题的，及时移交职能部门依法处理。相关部门将涉企行政处罚信息统一归集至国家企业信用信息公示系统，记于企业名下并向社会公示。</w:t>
      </w:r>
    </w:p>
    <w:p w14:paraId="42074F4F">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省自然资源厅负责绿色矿山建设日常工作、绿色矿山管理，牵头制定</w:t>
      </w:r>
      <w:r>
        <w:rPr>
          <w:rFonts w:hint="eastAsia" w:ascii="Times New Roman" w:hAnsi="Times New Roman" w:eastAsia="仿宋"/>
          <w:color w:val="auto"/>
          <w:sz w:val="32"/>
          <w:szCs w:val="32"/>
          <w:shd w:val="clear" w:color="auto" w:fill="auto"/>
          <w:lang w:eastAsia="zh-CN"/>
        </w:rPr>
        <w:t>省级建设规范、</w:t>
      </w:r>
      <w:r>
        <w:rPr>
          <w:rFonts w:hint="eastAsia" w:ascii="Times New Roman" w:hAnsi="Times New Roman" w:eastAsia="仿宋"/>
          <w:color w:val="auto"/>
          <w:sz w:val="32"/>
          <w:szCs w:val="32"/>
          <w:shd w:val="clear" w:color="auto" w:fill="auto"/>
        </w:rPr>
        <w:t>技术标准</w:t>
      </w:r>
      <w:r>
        <w:rPr>
          <w:rFonts w:hint="eastAsia" w:ascii="Times New Roman" w:hAnsi="Times New Roman" w:eastAsia="仿宋"/>
          <w:color w:val="auto"/>
          <w:sz w:val="32"/>
          <w:szCs w:val="32"/>
          <w:shd w:val="clear" w:color="auto" w:fill="auto"/>
          <w:lang w:eastAsia="zh-CN"/>
        </w:rPr>
        <w:t>及</w:t>
      </w:r>
      <w:r>
        <w:rPr>
          <w:rFonts w:hint="eastAsia" w:ascii="Times New Roman" w:hAnsi="Times New Roman" w:eastAsia="仿宋"/>
          <w:color w:val="auto"/>
          <w:sz w:val="32"/>
          <w:szCs w:val="32"/>
          <w:shd w:val="clear" w:color="auto" w:fill="auto"/>
        </w:rPr>
        <w:t>建设工作目标；负责矿山“三率”监管、矿山地质环境保护与土地复垦方案等执行情况的监管；负责辽宁省绿色矿山创建库、绿色矿山名录和第三方评估机构</w:t>
      </w:r>
      <w:r>
        <w:rPr>
          <w:rFonts w:hint="eastAsia" w:ascii="Times New Roman" w:hAnsi="Times New Roman" w:eastAsia="仿宋"/>
          <w:color w:val="auto"/>
          <w:sz w:val="32"/>
          <w:szCs w:val="32"/>
          <w:shd w:val="clear" w:color="auto" w:fill="auto"/>
          <w:lang w:eastAsia="zh-CN"/>
        </w:rPr>
        <w:t>管理</w:t>
      </w:r>
      <w:r>
        <w:rPr>
          <w:rFonts w:hint="eastAsia" w:ascii="Times New Roman" w:hAnsi="Times New Roman" w:eastAsia="仿宋"/>
          <w:color w:val="auto"/>
          <w:sz w:val="32"/>
          <w:szCs w:val="32"/>
          <w:shd w:val="clear" w:color="auto" w:fill="auto"/>
        </w:rPr>
        <w:t>库的动态管理；统筹绿色矿山建设指导、遴选评估工作。</w:t>
      </w:r>
    </w:p>
    <w:p w14:paraId="1CD3E072">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省生态环境厅负责监督矿山企业加强生态环境保护，落实环境影响评价措施，矿山“三废”治理及污染物达标排放的监督管理，参与绿色矿山建设指导工作和绿色矿山遴选审核。</w:t>
      </w:r>
    </w:p>
    <w:p w14:paraId="224384B1">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省财政厅负责统筹落实第三方评估、核查、奖励资金等绿色矿山建设经费，配合做好绿色矿山创建及扶持政策的制定。</w:t>
      </w:r>
    </w:p>
    <w:p w14:paraId="1EA0944C">
      <w:pPr>
        <w:autoSpaceDE w:val="0"/>
        <w:autoSpaceDN w:val="0"/>
        <w:adjustRightInd w:val="0"/>
        <w:ind w:firstLine="640" w:firstLineChars="200"/>
        <w:rPr>
          <w:rFonts w:hint="eastAsia" w:ascii="Times New Roman" w:hAnsi="Times New Roman" w:eastAsia="仿宋"/>
          <w:color w:val="auto"/>
          <w:sz w:val="32"/>
          <w:szCs w:val="32"/>
          <w:shd w:val="clear" w:color="auto" w:fill="auto"/>
          <w:lang w:eastAsia="zh-CN"/>
        </w:rPr>
      </w:pPr>
      <w:r>
        <w:rPr>
          <w:rFonts w:hint="eastAsia" w:ascii="Times New Roman" w:hAnsi="Times New Roman" w:eastAsia="仿宋"/>
          <w:color w:val="auto"/>
          <w:sz w:val="32"/>
          <w:szCs w:val="32"/>
          <w:shd w:val="clear" w:color="auto" w:fill="auto"/>
        </w:rPr>
        <w:t>省工业和信息化厅负责推广工业固体废弃物综合利用技术、工艺、设备，推动新一代信息技术在矿山领域应用</w:t>
      </w:r>
      <w:r>
        <w:rPr>
          <w:rFonts w:hint="eastAsia" w:ascii="Times New Roman" w:hAnsi="Times New Roman" w:eastAsia="仿宋"/>
          <w:color w:val="auto"/>
          <w:sz w:val="32"/>
          <w:szCs w:val="32"/>
          <w:shd w:val="clear" w:color="auto" w:fill="auto"/>
          <w:lang w:eastAsia="zh-CN"/>
        </w:rPr>
        <w:t>，</w:t>
      </w:r>
      <w:r>
        <w:rPr>
          <w:rFonts w:hint="eastAsia" w:ascii="Times New Roman" w:hAnsi="Times New Roman" w:eastAsia="仿宋"/>
          <w:color w:val="auto"/>
          <w:sz w:val="32"/>
          <w:szCs w:val="32"/>
          <w:shd w:val="clear" w:color="auto" w:fill="auto"/>
        </w:rPr>
        <w:t>参与绿色矿山建设指导工作和绿色矿山遴选审核。</w:t>
      </w:r>
    </w:p>
    <w:p w14:paraId="402334D4">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省地方矿山安全监督管理局负责矿山企业安全生产监督管理工作，指导监督矿山安全生产标准化和安全预防体系建设工作，参与绿色矿山建设指导工作和绿色矿山遴选审核。</w:t>
      </w:r>
    </w:p>
    <w:p w14:paraId="0ADF190F">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省市场监督管理局负责依法依规将失信矿山企业列入经营异常名录、市场监督管理严重违法失信名单。</w:t>
      </w:r>
    </w:p>
    <w:p w14:paraId="13A7E908">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省级金融监管部门负责制定完善绿色金融政策，指导银行保险机构积极开展相关金融服务，支持矿山企业绿色发展。</w:t>
      </w:r>
    </w:p>
    <w:p w14:paraId="5977AC4A">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省级证券监管部门负责支持符合条件的绿色矿山企业在境内上市融资。</w:t>
      </w:r>
    </w:p>
    <w:p w14:paraId="3DBEEFCC">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省级林草</w:t>
      </w:r>
      <w:r>
        <w:rPr>
          <w:rFonts w:hint="eastAsia" w:ascii="Times New Roman" w:hAnsi="Times New Roman" w:eastAsia="仿宋"/>
          <w:color w:val="auto"/>
          <w:sz w:val="32"/>
          <w:szCs w:val="32"/>
          <w:shd w:val="clear" w:color="auto" w:fill="auto"/>
          <w:lang w:eastAsia="zh-CN"/>
        </w:rPr>
        <w:t>局</w:t>
      </w:r>
      <w:r>
        <w:rPr>
          <w:rFonts w:hint="eastAsia" w:ascii="Times New Roman" w:hAnsi="Times New Roman" w:eastAsia="仿宋"/>
          <w:color w:val="auto"/>
          <w:sz w:val="32"/>
          <w:szCs w:val="32"/>
          <w:shd w:val="clear" w:color="auto" w:fill="auto"/>
        </w:rPr>
        <w:t>负责矿山占用林地草地的手续办理</w:t>
      </w:r>
      <w:r>
        <w:rPr>
          <w:rFonts w:hint="eastAsia" w:ascii="Times New Roman" w:hAnsi="Times New Roman" w:eastAsia="仿宋"/>
          <w:color w:val="auto"/>
          <w:sz w:val="32"/>
          <w:szCs w:val="32"/>
          <w:shd w:val="clear" w:color="auto" w:fill="auto"/>
          <w:lang w:eastAsia="zh-CN"/>
        </w:rPr>
        <w:t>，</w:t>
      </w:r>
      <w:r>
        <w:rPr>
          <w:rFonts w:hint="eastAsia" w:ascii="Times New Roman" w:hAnsi="Times New Roman" w:eastAsia="仿宋"/>
          <w:color w:val="auto"/>
          <w:sz w:val="32"/>
          <w:szCs w:val="32"/>
          <w:shd w:val="clear" w:color="auto" w:fill="auto"/>
        </w:rPr>
        <w:t>临时占用林地到期后植被恢复</w:t>
      </w:r>
      <w:r>
        <w:rPr>
          <w:rFonts w:hint="eastAsia" w:ascii="Times New Roman" w:hAnsi="Times New Roman" w:eastAsia="仿宋"/>
          <w:color w:val="auto"/>
          <w:sz w:val="32"/>
          <w:szCs w:val="32"/>
          <w:shd w:val="clear" w:color="auto" w:fill="auto"/>
          <w:lang w:eastAsia="zh-CN"/>
        </w:rPr>
        <w:t>，</w:t>
      </w:r>
      <w:r>
        <w:rPr>
          <w:rFonts w:hint="eastAsia" w:ascii="Times New Roman" w:hAnsi="Times New Roman" w:eastAsia="仿宋"/>
          <w:color w:val="auto"/>
          <w:sz w:val="32"/>
          <w:szCs w:val="32"/>
          <w:shd w:val="clear" w:color="auto" w:fill="auto"/>
        </w:rPr>
        <w:t>矿山开发附属工程临时占用草地到期后植被恢复的监管。</w:t>
      </w:r>
    </w:p>
    <w:p w14:paraId="0DBF89C6">
      <w:pPr>
        <w:autoSpaceDE w:val="0"/>
        <w:autoSpaceDN w:val="0"/>
        <w:adjustRightInd w:val="0"/>
        <w:ind w:firstLine="640" w:firstLineChars="200"/>
        <w:rPr>
          <w:rFonts w:hint="eastAsia" w:ascii="Times New Roman" w:hAnsi="Times New Roman" w:eastAsia="仿宋"/>
          <w:color w:val="auto"/>
          <w:sz w:val="32"/>
          <w:szCs w:val="32"/>
          <w:shd w:val="clear" w:color="auto" w:fill="auto"/>
          <w:lang w:eastAsia="zh-CN"/>
        </w:rPr>
      </w:pPr>
      <w:r>
        <w:rPr>
          <w:rFonts w:hint="eastAsia" w:ascii="Times New Roman" w:hAnsi="Times New Roman" w:eastAsia="仿宋"/>
          <w:color w:val="auto"/>
          <w:sz w:val="32"/>
          <w:szCs w:val="32"/>
          <w:shd w:val="clear" w:color="auto" w:fill="auto"/>
        </w:rPr>
        <w:t>市、县级各相关部门参照省直部门的责任分工，依据自身职能明确工作职责，结合绿色矿山建设</w:t>
      </w:r>
      <w:r>
        <w:rPr>
          <w:rFonts w:hint="eastAsia" w:ascii="Times New Roman" w:hAnsi="Times New Roman" w:eastAsia="仿宋"/>
          <w:color w:val="auto"/>
          <w:sz w:val="32"/>
          <w:szCs w:val="32"/>
          <w:shd w:val="clear" w:color="auto" w:fill="auto"/>
          <w:lang w:eastAsia="zh-CN"/>
        </w:rPr>
        <w:t>和管理</w:t>
      </w:r>
      <w:r>
        <w:rPr>
          <w:rFonts w:hint="eastAsia" w:ascii="Times New Roman" w:hAnsi="Times New Roman" w:eastAsia="仿宋"/>
          <w:color w:val="auto"/>
          <w:sz w:val="32"/>
          <w:szCs w:val="32"/>
          <w:shd w:val="clear" w:color="auto" w:fill="auto"/>
        </w:rPr>
        <w:t>要求，落实好相关工作。</w:t>
      </w:r>
      <w:r>
        <w:rPr>
          <w:rFonts w:hint="eastAsia" w:ascii="Times New Roman" w:hAnsi="Times New Roman" w:eastAsia="仿宋"/>
          <w:color w:val="auto"/>
          <w:sz w:val="32"/>
          <w:szCs w:val="32"/>
          <w:shd w:val="clear" w:color="auto" w:fill="auto"/>
          <w:lang w:eastAsia="zh-CN"/>
        </w:rPr>
        <w:t>全省各级自然资源主管部门在绿色矿山遴选和管理工作中，还要充分征询公安等其他有管理职能部门的意见和情况。</w:t>
      </w:r>
    </w:p>
    <w:p w14:paraId="5C796F2B">
      <w:pPr>
        <w:autoSpaceDE w:val="0"/>
        <w:autoSpaceDN w:val="0"/>
        <w:adjustRightInd w:val="0"/>
        <w:ind w:firstLine="640" w:firstLineChars="200"/>
        <w:outlineLvl w:val="0"/>
        <w:rPr>
          <w:rFonts w:ascii="Times New Roman" w:hAnsi="Times New Roman" w:eastAsia="黑体"/>
          <w:color w:val="auto"/>
          <w:sz w:val="32"/>
          <w:szCs w:val="32"/>
          <w:shd w:val="clear" w:color="auto" w:fill="auto"/>
        </w:rPr>
      </w:pPr>
      <w:r>
        <w:rPr>
          <w:rFonts w:ascii="Times New Roman" w:hAnsi="Times New Roman" w:eastAsia="黑体"/>
          <w:color w:val="auto"/>
          <w:sz w:val="32"/>
          <w:szCs w:val="32"/>
          <w:shd w:val="clear" w:color="auto" w:fill="auto"/>
        </w:rPr>
        <w:t>六、组织保障</w:t>
      </w:r>
      <w:bookmarkEnd w:id="10"/>
      <w:bookmarkStart w:id="11" w:name="_Toc2691794"/>
    </w:p>
    <w:p w14:paraId="1FE1399D">
      <w:pPr>
        <w:autoSpaceDE w:val="0"/>
        <w:autoSpaceDN w:val="0"/>
        <w:adjustRightInd w:val="0"/>
        <w:ind w:firstLine="640" w:firstLineChars="200"/>
        <w:rPr>
          <w:rFonts w:ascii="楷体" w:hAnsi="楷体" w:eastAsia="楷体"/>
          <w:color w:val="auto"/>
          <w:sz w:val="32"/>
          <w:szCs w:val="32"/>
          <w:shd w:val="clear" w:color="auto" w:fill="auto"/>
        </w:rPr>
      </w:pPr>
      <w:r>
        <w:rPr>
          <w:rFonts w:ascii="楷体" w:hAnsi="楷体" w:eastAsia="楷体"/>
          <w:color w:val="auto"/>
          <w:sz w:val="32"/>
          <w:szCs w:val="32"/>
          <w:shd w:val="clear" w:color="auto" w:fill="auto"/>
        </w:rPr>
        <w:t>（一）</w:t>
      </w:r>
      <w:bookmarkEnd w:id="11"/>
      <w:r>
        <w:rPr>
          <w:rFonts w:hint="eastAsia" w:ascii="楷体" w:hAnsi="楷体" w:eastAsia="楷体"/>
          <w:color w:val="auto"/>
          <w:sz w:val="32"/>
          <w:szCs w:val="32"/>
          <w:shd w:val="clear" w:color="auto" w:fill="auto"/>
        </w:rPr>
        <w:t>加强经费保障</w:t>
      </w:r>
    </w:p>
    <w:p w14:paraId="0E407293">
      <w:pPr>
        <w:autoSpaceDE w:val="0"/>
        <w:autoSpaceDN w:val="0"/>
        <w:adjustRightInd w:val="0"/>
        <w:ind w:firstLine="640" w:firstLineChars="200"/>
        <w:rPr>
          <w:rFonts w:ascii="Times New Roman" w:hAnsi="Times New Roman" w:eastAsia="仿宋"/>
          <w:color w:val="auto"/>
          <w:sz w:val="32"/>
          <w:szCs w:val="32"/>
          <w:shd w:val="clear" w:color="auto" w:fill="auto"/>
        </w:rPr>
      </w:pPr>
      <w:bookmarkStart w:id="26" w:name="_GoBack"/>
      <w:bookmarkStart w:id="12" w:name="OLE_LINK6"/>
      <w:r>
        <w:rPr>
          <w:rFonts w:hint="eastAsia" w:ascii="Times New Roman" w:hAnsi="Times New Roman" w:eastAsia="仿宋"/>
          <w:color w:val="auto"/>
          <w:sz w:val="32"/>
          <w:szCs w:val="32"/>
          <w:shd w:val="clear" w:color="auto" w:fill="auto"/>
          <w:lang w:eastAsia="zh-CN"/>
        </w:rPr>
        <w:t>省自然资源厅保障国家级绿色矿山评估遴选及实地核查工作经费纳入省级财政管理；市级自然主管部门保障第三方评估工作经费纳入市级财政管理</w:t>
      </w:r>
      <w:bookmarkEnd w:id="12"/>
      <w:r>
        <w:rPr>
          <w:rFonts w:hint="eastAsia" w:ascii="Times New Roman" w:hAnsi="Times New Roman" w:eastAsia="仿宋"/>
          <w:color w:val="auto"/>
          <w:sz w:val="32"/>
          <w:szCs w:val="32"/>
          <w:shd w:val="clear" w:color="auto" w:fill="auto"/>
          <w:lang w:eastAsia="zh-CN"/>
        </w:rPr>
        <w:t>。同时，协同各级财政主管部门，做好绿色矿山奖励</w:t>
      </w:r>
      <w:r>
        <w:rPr>
          <w:rFonts w:hint="eastAsia" w:ascii="Times New Roman" w:hAnsi="Times New Roman" w:eastAsia="仿宋"/>
          <w:color w:val="auto"/>
          <w:sz w:val="32"/>
          <w:szCs w:val="32"/>
          <w:shd w:val="clear" w:color="auto" w:fill="auto"/>
          <w:lang w:eastAsia="zh-CN"/>
        </w:rPr>
        <w:t>资金的管理工作</w:t>
      </w:r>
      <w:r>
        <w:rPr>
          <w:rFonts w:hint="eastAsia" w:ascii="Times New Roman" w:hAnsi="Times New Roman" w:eastAsia="仿宋"/>
          <w:color w:val="auto"/>
          <w:sz w:val="32"/>
          <w:szCs w:val="32"/>
          <w:shd w:val="clear" w:color="auto" w:fill="auto"/>
        </w:rPr>
        <w:t>。</w:t>
      </w:r>
    </w:p>
    <w:p w14:paraId="17B35F78">
      <w:pPr>
        <w:autoSpaceDE w:val="0"/>
        <w:autoSpaceDN w:val="0"/>
        <w:adjustRightInd w:val="0"/>
        <w:ind w:firstLine="640" w:firstLineChars="200"/>
        <w:rPr>
          <w:rFonts w:ascii="楷体" w:hAnsi="楷体" w:eastAsia="楷体"/>
          <w:color w:val="auto"/>
          <w:sz w:val="32"/>
          <w:szCs w:val="32"/>
          <w:shd w:val="clear" w:color="auto" w:fill="auto"/>
        </w:rPr>
      </w:pPr>
      <w:bookmarkStart w:id="13" w:name="_Toc2691795"/>
      <w:r>
        <w:rPr>
          <w:rFonts w:ascii="楷体" w:hAnsi="楷体" w:eastAsia="楷体"/>
          <w:color w:val="auto"/>
          <w:sz w:val="32"/>
          <w:szCs w:val="32"/>
          <w:shd w:val="clear" w:color="auto" w:fill="auto"/>
        </w:rPr>
        <w:t>（二）</w:t>
      </w:r>
      <w:bookmarkEnd w:id="13"/>
      <w:r>
        <w:rPr>
          <w:rFonts w:hint="eastAsia" w:ascii="楷体" w:hAnsi="楷体" w:eastAsia="楷体"/>
          <w:color w:val="auto"/>
          <w:sz w:val="32"/>
          <w:szCs w:val="32"/>
          <w:shd w:val="clear" w:color="auto" w:fill="auto"/>
        </w:rPr>
        <w:t>强化指导</w:t>
      </w:r>
      <w:r>
        <w:rPr>
          <w:rFonts w:ascii="楷体" w:hAnsi="楷体" w:eastAsia="楷体"/>
          <w:color w:val="auto"/>
          <w:sz w:val="32"/>
          <w:szCs w:val="32"/>
          <w:shd w:val="clear" w:color="auto" w:fill="auto"/>
        </w:rPr>
        <w:t>核查</w:t>
      </w:r>
    </w:p>
    <w:bookmarkEnd w:id="26"/>
    <w:p w14:paraId="37467090">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ascii="Times New Roman" w:hAnsi="Times New Roman" w:eastAsia="仿宋"/>
          <w:color w:val="auto"/>
          <w:sz w:val="32"/>
          <w:szCs w:val="32"/>
          <w:shd w:val="clear" w:color="auto" w:fill="auto"/>
        </w:rPr>
        <w:t>各级自然资源主管部门会同相关部门</w:t>
      </w:r>
      <w:r>
        <w:rPr>
          <w:rFonts w:hint="eastAsia" w:ascii="Times New Roman" w:hAnsi="Times New Roman" w:eastAsia="仿宋"/>
          <w:color w:val="auto"/>
          <w:sz w:val="32"/>
          <w:szCs w:val="32"/>
          <w:shd w:val="clear" w:color="auto" w:fill="auto"/>
          <w:lang w:eastAsia="zh-CN"/>
        </w:rPr>
        <w:t>，</w:t>
      </w:r>
      <w:r>
        <w:rPr>
          <w:rFonts w:ascii="Times New Roman" w:hAnsi="Times New Roman" w:eastAsia="仿宋"/>
          <w:color w:val="auto"/>
          <w:sz w:val="32"/>
          <w:szCs w:val="32"/>
          <w:shd w:val="clear" w:color="auto" w:fill="auto"/>
        </w:rPr>
        <w:t>对</w:t>
      </w:r>
      <w:r>
        <w:rPr>
          <w:rFonts w:hint="eastAsia" w:ascii="Times New Roman" w:hAnsi="Times New Roman" w:eastAsia="仿宋"/>
          <w:color w:val="auto"/>
          <w:sz w:val="32"/>
          <w:szCs w:val="32"/>
          <w:shd w:val="clear" w:color="auto" w:fill="auto"/>
          <w:lang w:eastAsia="zh-CN"/>
        </w:rPr>
        <w:t>正在创建</w:t>
      </w:r>
      <w:r>
        <w:rPr>
          <w:rFonts w:ascii="Times New Roman" w:hAnsi="Times New Roman" w:eastAsia="仿宋"/>
          <w:color w:val="auto"/>
          <w:sz w:val="32"/>
          <w:szCs w:val="32"/>
          <w:shd w:val="clear" w:color="auto" w:fill="auto"/>
        </w:rPr>
        <w:t>的矿山，加大</w:t>
      </w:r>
      <w:r>
        <w:rPr>
          <w:rFonts w:hint="eastAsia" w:ascii="Times New Roman" w:hAnsi="Times New Roman" w:eastAsia="仿宋"/>
          <w:color w:val="auto"/>
          <w:sz w:val="32"/>
          <w:szCs w:val="32"/>
          <w:shd w:val="clear" w:color="auto" w:fill="auto"/>
        </w:rPr>
        <w:t>指导</w:t>
      </w:r>
      <w:r>
        <w:rPr>
          <w:rFonts w:ascii="Times New Roman" w:hAnsi="Times New Roman" w:eastAsia="仿宋"/>
          <w:color w:val="auto"/>
          <w:sz w:val="32"/>
          <w:szCs w:val="32"/>
          <w:shd w:val="clear" w:color="auto" w:fill="auto"/>
        </w:rPr>
        <w:t>力</w:t>
      </w:r>
      <w:r>
        <w:rPr>
          <w:rFonts w:hint="eastAsia" w:ascii="Times New Roman" w:hAnsi="Times New Roman" w:eastAsia="仿宋"/>
          <w:color w:val="auto"/>
          <w:sz w:val="32"/>
          <w:szCs w:val="32"/>
          <w:shd w:val="clear" w:color="auto" w:fill="auto"/>
          <w:lang w:eastAsia="zh-CN"/>
        </w:rPr>
        <w:t>度，推动</w:t>
      </w:r>
      <w:r>
        <w:rPr>
          <w:rFonts w:hint="eastAsia" w:ascii="Times New Roman" w:hAnsi="Times New Roman" w:eastAsia="仿宋"/>
          <w:color w:val="auto"/>
          <w:sz w:val="32"/>
          <w:szCs w:val="32"/>
          <w:shd w:val="clear" w:color="auto" w:fill="auto"/>
          <w:lang w:eastAsia="zh-CN"/>
        </w:rPr>
        <w:t>其尽快</w:t>
      </w:r>
      <w:r>
        <w:rPr>
          <w:rFonts w:hint="eastAsia" w:ascii="Times New Roman" w:hAnsi="Times New Roman" w:eastAsia="仿宋"/>
          <w:color w:val="auto"/>
          <w:sz w:val="32"/>
          <w:szCs w:val="32"/>
          <w:shd w:val="clear" w:color="auto" w:fill="auto"/>
          <w:lang w:eastAsia="zh-CN"/>
        </w:rPr>
        <w:t>达到绿色矿山</w:t>
      </w:r>
      <w:r>
        <w:rPr>
          <w:rFonts w:hint="eastAsia" w:ascii="Times New Roman" w:hAnsi="Times New Roman" w:eastAsia="仿宋"/>
          <w:color w:val="auto"/>
          <w:sz w:val="32"/>
          <w:szCs w:val="32"/>
          <w:shd w:val="clear" w:color="auto" w:fill="auto"/>
          <w:lang w:eastAsia="zh-CN"/>
        </w:rPr>
        <w:t>标准。省自然资源厅</w:t>
      </w:r>
      <w:r>
        <w:rPr>
          <w:rFonts w:ascii="Times New Roman" w:hAnsi="Times New Roman" w:eastAsia="仿宋"/>
          <w:color w:val="auto"/>
          <w:sz w:val="32"/>
          <w:szCs w:val="32"/>
          <w:shd w:val="clear" w:color="auto" w:fill="auto"/>
        </w:rPr>
        <w:t>严格按照</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双随机、一公开</w:t>
      </w:r>
      <w:r>
        <w:rPr>
          <w:rFonts w:hint="eastAsia" w:ascii="Times New Roman" w:hAnsi="Times New Roman" w:eastAsia="仿宋"/>
          <w:color w:val="auto"/>
          <w:sz w:val="32"/>
          <w:szCs w:val="32"/>
          <w:shd w:val="clear" w:color="auto" w:fill="auto"/>
        </w:rPr>
        <w:t>”</w:t>
      </w:r>
      <w:r>
        <w:rPr>
          <w:rFonts w:ascii="Times New Roman" w:hAnsi="Times New Roman" w:eastAsia="仿宋"/>
          <w:color w:val="auto"/>
          <w:sz w:val="32"/>
          <w:szCs w:val="32"/>
          <w:shd w:val="clear" w:color="auto" w:fill="auto"/>
        </w:rPr>
        <w:t>要求，每年抽取不低于10%的绿色矿山</w:t>
      </w:r>
      <w:r>
        <w:rPr>
          <w:rFonts w:hint="eastAsia" w:ascii="Times New Roman" w:hAnsi="Times New Roman" w:eastAsia="仿宋"/>
          <w:color w:val="auto"/>
          <w:sz w:val="32"/>
          <w:szCs w:val="32"/>
          <w:shd w:val="clear" w:color="auto" w:fill="auto"/>
        </w:rPr>
        <w:t>纳</w:t>
      </w:r>
      <w:r>
        <w:rPr>
          <w:rFonts w:ascii="Times New Roman" w:hAnsi="Times New Roman" w:eastAsia="仿宋"/>
          <w:color w:val="auto"/>
          <w:sz w:val="32"/>
          <w:szCs w:val="32"/>
          <w:shd w:val="clear" w:color="auto" w:fill="auto"/>
        </w:rPr>
        <w:t>入随机抽查名单。</w:t>
      </w:r>
      <w:bookmarkStart w:id="14" w:name="_Toc2691797"/>
      <w:bookmarkStart w:id="15" w:name="_Toc498498599"/>
    </w:p>
    <w:p w14:paraId="2A4B375D">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ascii="楷体" w:hAnsi="楷体" w:eastAsia="楷体"/>
          <w:color w:val="auto"/>
          <w:sz w:val="32"/>
          <w:szCs w:val="32"/>
          <w:shd w:val="clear" w:color="auto" w:fill="auto"/>
        </w:rPr>
        <w:t>（</w:t>
      </w:r>
      <w:r>
        <w:rPr>
          <w:rFonts w:hint="eastAsia" w:ascii="楷体" w:hAnsi="楷体" w:eastAsia="楷体"/>
          <w:color w:val="auto"/>
          <w:sz w:val="32"/>
          <w:szCs w:val="32"/>
          <w:shd w:val="clear" w:color="auto" w:fill="auto"/>
        </w:rPr>
        <w:t>三</w:t>
      </w:r>
      <w:r>
        <w:rPr>
          <w:rFonts w:ascii="楷体" w:hAnsi="楷体" w:eastAsia="楷体"/>
          <w:color w:val="auto"/>
          <w:sz w:val="32"/>
          <w:szCs w:val="32"/>
          <w:shd w:val="clear" w:color="auto" w:fill="auto"/>
        </w:rPr>
        <w:t>）</w:t>
      </w:r>
      <w:bookmarkEnd w:id="14"/>
      <w:bookmarkEnd w:id="15"/>
      <w:r>
        <w:rPr>
          <w:rFonts w:hint="eastAsia" w:ascii="楷体" w:hAnsi="楷体" w:eastAsia="楷体"/>
          <w:color w:val="auto"/>
          <w:sz w:val="32"/>
          <w:szCs w:val="32"/>
          <w:shd w:val="clear" w:color="auto" w:fill="auto"/>
        </w:rPr>
        <w:t>加大</w:t>
      </w:r>
      <w:r>
        <w:rPr>
          <w:rFonts w:ascii="楷体" w:hAnsi="楷体" w:eastAsia="楷体"/>
          <w:color w:val="auto"/>
          <w:sz w:val="32"/>
          <w:szCs w:val="32"/>
          <w:shd w:val="clear" w:color="auto" w:fill="auto"/>
        </w:rPr>
        <w:t>宣传力度</w:t>
      </w:r>
    </w:p>
    <w:p w14:paraId="17D67EA2">
      <w:pPr>
        <w:autoSpaceDE w:val="0"/>
        <w:autoSpaceDN w:val="0"/>
        <w:adjustRightInd w:val="0"/>
        <w:ind w:firstLine="640" w:firstLineChars="200"/>
        <w:rPr>
          <w:rFonts w:ascii="Times New Roman" w:hAnsi="Times New Roman" w:eastAsia="仿宋"/>
          <w:color w:val="auto"/>
          <w:sz w:val="32"/>
          <w:szCs w:val="32"/>
          <w:shd w:val="clear" w:color="auto" w:fill="auto"/>
        </w:rPr>
      </w:pPr>
      <w:r>
        <w:rPr>
          <w:rFonts w:hint="eastAsia" w:ascii="Times New Roman" w:hAnsi="Times New Roman" w:eastAsia="仿宋"/>
          <w:color w:val="auto"/>
          <w:sz w:val="32"/>
          <w:szCs w:val="32"/>
          <w:shd w:val="clear" w:color="auto" w:fill="auto"/>
        </w:rPr>
        <w:t>充分利用新闻媒体、网络自媒体，</w:t>
      </w:r>
      <w:r>
        <w:rPr>
          <w:rFonts w:hint="eastAsia" w:ascii="Times New Roman" w:hAnsi="Times New Roman" w:eastAsia="仿宋"/>
          <w:color w:val="auto"/>
          <w:sz w:val="32"/>
          <w:szCs w:val="32"/>
          <w:shd w:val="clear" w:color="auto" w:fill="auto"/>
          <w:lang w:eastAsia="zh-CN"/>
        </w:rPr>
        <w:t>加大力度</w:t>
      </w:r>
      <w:r>
        <w:rPr>
          <w:rFonts w:hint="eastAsia" w:ascii="Times New Roman" w:hAnsi="Times New Roman" w:eastAsia="仿宋"/>
          <w:color w:val="auto"/>
          <w:sz w:val="32"/>
          <w:szCs w:val="32"/>
          <w:shd w:val="clear" w:color="auto" w:fill="auto"/>
        </w:rPr>
        <w:t>宣传绿色矿山建设重要意义和工作成果，及时总结、宣传、推广典型建设经验</w:t>
      </w:r>
      <w:r>
        <w:rPr>
          <w:rFonts w:hint="eastAsia" w:ascii="Times New Roman" w:hAnsi="Times New Roman" w:eastAsia="仿宋"/>
          <w:color w:val="auto"/>
          <w:sz w:val="32"/>
          <w:szCs w:val="32"/>
          <w:shd w:val="clear" w:color="auto" w:fill="auto"/>
          <w:lang w:eastAsia="zh-CN"/>
        </w:rPr>
        <w:t>，</w:t>
      </w:r>
      <w:r>
        <w:rPr>
          <w:rFonts w:hint="eastAsia" w:ascii="Times New Roman" w:hAnsi="Times New Roman" w:eastAsia="仿宋"/>
          <w:color w:val="auto"/>
          <w:sz w:val="32"/>
          <w:szCs w:val="32"/>
          <w:shd w:val="clear" w:color="auto" w:fill="auto"/>
        </w:rPr>
        <w:t>公开曝光反面典型。</w:t>
      </w:r>
      <w:r>
        <w:rPr>
          <w:rFonts w:hint="eastAsia" w:ascii="Times New Roman" w:hAnsi="Times New Roman" w:eastAsia="仿宋"/>
          <w:color w:val="auto"/>
          <w:sz w:val="32"/>
          <w:szCs w:val="32"/>
          <w:shd w:val="clear" w:color="auto" w:fill="auto"/>
          <w:lang w:eastAsia="zh-CN"/>
        </w:rPr>
        <w:t>同时，积极</w:t>
      </w:r>
      <w:r>
        <w:rPr>
          <w:rFonts w:hint="eastAsia" w:ascii="Times New Roman" w:hAnsi="Times New Roman" w:eastAsia="仿宋"/>
          <w:color w:val="auto"/>
          <w:sz w:val="32"/>
          <w:szCs w:val="32"/>
          <w:shd w:val="clear" w:color="auto" w:fill="auto"/>
        </w:rPr>
        <w:t>向社会宣传绿色矿山建设理念，</w:t>
      </w:r>
      <w:r>
        <w:rPr>
          <w:rFonts w:hint="eastAsia" w:ascii="Times New Roman" w:hAnsi="Times New Roman" w:eastAsia="仿宋"/>
          <w:color w:val="auto"/>
          <w:sz w:val="32"/>
          <w:szCs w:val="32"/>
          <w:shd w:val="clear" w:color="auto" w:fill="auto"/>
          <w:lang w:eastAsia="zh-CN"/>
        </w:rPr>
        <w:t>进一步铸牢全省矿业绿色高质量发展坚实基础</w:t>
      </w:r>
      <w:r>
        <w:rPr>
          <w:rFonts w:hint="eastAsia" w:ascii="Times New Roman" w:hAnsi="Times New Roman" w:eastAsia="仿宋"/>
          <w:color w:val="auto"/>
          <w:sz w:val="32"/>
          <w:szCs w:val="32"/>
          <w:shd w:val="clear" w:color="auto" w:fill="auto"/>
        </w:rPr>
        <w:t>。</w:t>
      </w:r>
    </w:p>
    <w:p w14:paraId="51654509">
      <w:pPr>
        <w:autoSpaceDE w:val="0"/>
        <w:autoSpaceDN w:val="0"/>
        <w:adjustRightInd w:val="0"/>
        <w:ind w:firstLine="640" w:firstLineChars="200"/>
        <w:rPr>
          <w:rFonts w:hint="eastAsia" w:ascii="仿宋" w:hAnsi="仿宋" w:eastAsia="仿宋" w:cs="宋体"/>
          <w:color w:val="auto"/>
          <w:kern w:val="0"/>
          <w:sz w:val="32"/>
          <w:szCs w:val="32"/>
          <w:shd w:val="clear" w:color="auto" w:fill="auto"/>
          <w:lang w:val="en-US" w:eastAsia="zh-CN" w:bidi="ar-SA"/>
        </w:rPr>
      </w:pPr>
      <w:r>
        <w:rPr>
          <w:rFonts w:hint="eastAsia" w:ascii="仿宋" w:hAnsi="仿宋" w:eastAsia="仿宋" w:cs="宋体"/>
          <w:color w:val="auto"/>
          <w:kern w:val="0"/>
          <w:sz w:val="32"/>
          <w:szCs w:val="32"/>
          <w:shd w:val="clear" w:color="auto" w:fill="auto"/>
          <w:lang w:val="en-US" w:eastAsia="zh-CN" w:bidi="ar-SA"/>
        </w:rPr>
        <w:t>附件：1-1.绿色矿山名录动态管理要求</w:t>
      </w:r>
    </w:p>
    <w:p w14:paraId="06D3D72A">
      <w:pPr>
        <w:autoSpaceDE w:val="0"/>
        <w:autoSpaceDN w:val="0"/>
        <w:adjustRightInd w:val="0"/>
        <w:ind w:firstLine="1600" w:firstLineChars="500"/>
        <w:rPr>
          <w:rFonts w:ascii="仿宋" w:hAnsi="仿宋" w:eastAsia="仿宋" w:cs="宋体"/>
          <w:color w:val="auto"/>
          <w:kern w:val="0"/>
          <w:sz w:val="32"/>
          <w:szCs w:val="32"/>
          <w:shd w:val="clear" w:color="auto" w:fill="auto"/>
          <w:lang w:val="en-US" w:eastAsia="zh-CN" w:bidi="ar-SA"/>
        </w:rPr>
      </w:pPr>
      <w:r>
        <w:rPr>
          <w:rFonts w:hint="eastAsia" w:ascii="仿宋" w:hAnsi="仿宋" w:eastAsia="仿宋" w:cs="宋体"/>
          <w:color w:val="auto"/>
          <w:kern w:val="0"/>
          <w:sz w:val="32"/>
          <w:szCs w:val="32"/>
          <w:shd w:val="clear" w:color="auto" w:fill="auto"/>
          <w:lang w:val="en-US" w:eastAsia="zh-CN" w:bidi="ar-SA"/>
        </w:rPr>
        <w:t>2</w:t>
      </w:r>
      <w:r>
        <w:rPr>
          <w:rFonts w:ascii="仿宋" w:hAnsi="仿宋" w:eastAsia="仿宋" w:cs="宋体"/>
          <w:color w:val="auto"/>
          <w:kern w:val="0"/>
          <w:sz w:val="32"/>
          <w:szCs w:val="32"/>
          <w:shd w:val="clear" w:color="auto" w:fill="auto"/>
          <w:lang w:val="en-US" w:eastAsia="zh-CN" w:bidi="ar-SA"/>
        </w:rPr>
        <w:t>-1</w:t>
      </w:r>
      <w:r>
        <w:rPr>
          <w:rFonts w:hint="eastAsia" w:ascii="仿宋" w:hAnsi="仿宋" w:eastAsia="仿宋" w:cs="宋体"/>
          <w:color w:val="auto"/>
          <w:kern w:val="0"/>
          <w:sz w:val="32"/>
          <w:szCs w:val="32"/>
          <w:shd w:val="clear" w:color="auto" w:fill="auto"/>
          <w:lang w:val="en-US" w:eastAsia="zh-CN" w:bidi="ar-SA"/>
        </w:rPr>
        <w:t>.</w:t>
      </w:r>
      <w:r>
        <w:rPr>
          <w:rFonts w:ascii="仿宋" w:hAnsi="仿宋" w:eastAsia="仿宋" w:cs="宋体"/>
          <w:color w:val="auto"/>
          <w:kern w:val="0"/>
          <w:sz w:val="32"/>
          <w:szCs w:val="32"/>
          <w:shd w:val="clear" w:color="auto" w:fill="auto"/>
          <w:lang w:val="en-US" w:eastAsia="zh-CN" w:bidi="ar-SA"/>
        </w:rPr>
        <w:t>辽宁省绿色矿山建设规划参考提纲</w:t>
      </w:r>
    </w:p>
    <w:p w14:paraId="2D42B218">
      <w:pPr>
        <w:autoSpaceDE w:val="0"/>
        <w:autoSpaceDN w:val="0"/>
        <w:adjustRightInd w:val="0"/>
        <w:ind w:firstLine="1600" w:firstLineChars="500"/>
        <w:rPr>
          <w:rFonts w:ascii="仿宋" w:hAnsi="仿宋" w:eastAsia="仿宋" w:cs="宋体"/>
          <w:color w:val="auto"/>
          <w:kern w:val="0"/>
          <w:sz w:val="32"/>
          <w:szCs w:val="32"/>
          <w:shd w:val="clear" w:color="auto" w:fill="auto"/>
          <w:lang w:val="en-US" w:eastAsia="zh-CN" w:bidi="ar-SA"/>
        </w:rPr>
      </w:pPr>
      <w:r>
        <w:rPr>
          <w:rFonts w:ascii="仿宋" w:hAnsi="仿宋" w:eastAsia="仿宋" w:cs="宋体"/>
          <w:color w:val="auto"/>
          <w:kern w:val="0"/>
          <w:sz w:val="32"/>
          <w:szCs w:val="32"/>
          <w:shd w:val="clear" w:color="auto" w:fill="auto"/>
          <w:lang w:val="en-US" w:eastAsia="zh-CN" w:bidi="ar-SA"/>
        </w:rPr>
        <w:t>2-2.辽宁省绿色矿山建设申报表</w:t>
      </w:r>
    </w:p>
    <w:p w14:paraId="05832426">
      <w:pPr>
        <w:autoSpaceDE w:val="0"/>
        <w:autoSpaceDN w:val="0"/>
        <w:adjustRightInd w:val="0"/>
        <w:ind w:firstLine="1600" w:firstLineChars="500"/>
        <w:rPr>
          <w:rFonts w:ascii="仿宋" w:hAnsi="仿宋" w:eastAsia="仿宋" w:cs="宋体"/>
          <w:color w:val="auto"/>
          <w:kern w:val="0"/>
          <w:sz w:val="32"/>
          <w:szCs w:val="32"/>
          <w:shd w:val="clear" w:color="auto" w:fill="auto"/>
          <w:lang w:val="en-US" w:eastAsia="zh-CN" w:bidi="ar-SA"/>
        </w:rPr>
      </w:pPr>
      <w:r>
        <w:rPr>
          <w:rFonts w:ascii="仿宋" w:hAnsi="仿宋" w:eastAsia="仿宋" w:cs="宋体"/>
          <w:color w:val="auto"/>
          <w:kern w:val="0"/>
          <w:sz w:val="32"/>
          <w:szCs w:val="32"/>
          <w:shd w:val="clear" w:color="auto" w:fill="auto"/>
          <w:lang w:val="en-US" w:eastAsia="zh-CN" w:bidi="ar-SA"/>
        </w:rPr>
        <w:t>2-3.辽宁省绿色矿山创建库管理及</w:t>
      </w:r>
      <w:r>
        <w:rPr>
          <w:rFonts w:hint="eastAsia" w:ascii="仿宋" w:hAnsi="仿宋" w:eastAsia="仿宋" w:cs="宋体"/>
          <w:color w:val="auto"/>
          <w:kern w:val="0"/>
          <w:sz w:val="32"/>
          <w:szCs w:val="32"/>
          <w:shd w:val="clear" w:color="auto" w:fill="auto"/>
          <w:lang w:val="en-US" w:eastAsia="zh-CN" w:bidi="ar-SA"/>
        </w:rPr>
        <w:t>申报</w:t>
      </w:r>
      <w:r>
        <w:rPr>
          <w:rFonts w:ascii="仿宋" w:hAnsi="仿宋" w:eastAsia="仿宋" w:cs="宋体"/>
          <w:color w:val="auto"/>
          <w:kern w:val="0"/>
          <w:sz w:val="32"/>
          <w:szCs w:val="32"/>
          <w:shd w:val="clear" w:color="auto" w:fill="auto"/>
          <w:lang w:val="en-US" w:eastAsia="zh-CN" w:bidi="ar-SA"/>
        </w:rPr>
        <w:t>指南</w:t>
      </w:r>
    </w:p>
    <w:p w14:paraId="2D47AF1F">
      <w:pPr>
        <w:autoSpaceDE w:val="0"/>
        <w:autoSpaceDN w:val="0"/>
        <w:adjustRightInd w:val="0"/>
        <w:ind w:firstLine="1600" w:firstLineChars="500"/>
        <w:rPr>
          <w:rFonts w:ascii="仿宋" w:hAnsi="仿宋" w:eastAsia="仿宋" w:cs="宋体"/>
          <w:color w:val="auto"/>
          <w:sz w:val="32"/>
          <w:szCs w:val="32"/>
          <w:shd w:val="clear" w:color="auto" w:fill="auto"/>
        </w:rPr>
      </w:pPr>
      <w:r>
        <w:rPr>
          <w:rFonts w:ascii="仿宋" w:hAnsi="仿宋" w:eastAsia="仿宋" w:cs="宋体"/>
          <w:color w:val="auto"/>
          <w:kern w:val="0"/>
          <w:sz w:val="32"/>
          <w:szCs w:val="32"/>
          <w:shd w:val="clear" w:color="auto" w:fill="auto"/>
          <w:lang w:val="en-US" w:eastAsia="zh-CN" w:bidi="ar-SA"/>
        </w:rPr>
        <w:t>2-4.辽宁省</w:t>
      </w:r>
      <w:r>
        <w:rPr>
          <w:rFonts w:ascii="仿宋" w:hAnsi="仿宋" w:eastAsia="仿宋" w:cs="宋体"/>
          <w:color w:val="auto"/>
          <w:sz w:val="32"/>
          <w:szCs w:val="32"/>
          <w:shd w:val="clear" w:color="auto" w:fill="auto"/>
        </w:rPr>
        <w:t>绿色矿山自评估报告参考提纲</w:t>
      </w:r>
    </w:p>
    <w:p w14:paraId="31F2461B">
      <w:pPr>
        <w:autoSpaceDE w:val="0"/>
        <w:autoSpaceDN w:val="0"/>
        <w:adjustRightInd w:val="0"/>
        <w:ind w:firstLine="1600" w:firstLineChars="500"/>
        <w:rPr>
          <w:rFonts w:ascii="仿宋" w:hAnsi="仿宋" w:eastAsia="仿宋" w:cs="宋体"/>
          <w:color w:val="auto"/>
          <w:sz w:val="32"/>
          <w:szCs w:val="32"/>
          <w:shd w:val="clear" w:color="auto" w:fill="auto"/>
        </w:rPr>
      </w:pPr>
      <w:r>
        <w:rPr>
          <w:rFonts w:ascii="仿宋" w:hAnsi="仿宋" w:eastAsia="仿宋" w:cs="宋体"/>
          <w:color w:val="auto"/>
          <w:sz w:val="32"/>
          <w:szCs w:val="32"/>
          <w:shd w:val="clear" w:color="auto" w:fill="auto"/>
        </w:rPr>
        <w:t>2-5.辽宁省绿色矿山</w:t>
      </w:r>
      <w:r>
        <w:rPr>
          <w:rFonts w:hint="eastAsia" w:ascii="仿宋" w:hAnsi="仿宋" w:eastAsia="仿宋" w:cs="宋体"/>
          <w:color w:val="auto"/>
          <w:sz w:val="32"/>
          <w:szCs w:val="32"/>
          <w:shd w:val="clear" w:color="auto" w:fill="auto"/>
        </w:rPr>
        <w:t>名录</w:t>
      </w:r>
      <w:r>
        <w:rPr>
          <w:rFonts w:ascii="仿宋" w:hAnsi="仿宋" w:eastAsia="仿宋" w:cs="宋体"/>
          <w:color w:val="auto"/>
          <w:sz w:val="32"/>
          <w:szCs w:val="32"/>
          <w:shd w:val="clear" w:color="auto" w:fill="auto"/>
        </w:rPr>
        <w:t>信息表</w:t>
      </w:r>
    </w:p>
    <w:p w14:paraId="08E3B65F">
      <w:pPr>
        <w:autoSpaceDE w:val="0"/>
        <w:autoSpaceDN w:val="0"/>
        <w:adjustRightInd w:val="0"/>
        <w:ind w:firstLine="1600" w:firstLineChars="500"/>
        <w:rPr>
          <w:rFonts w:hint="default" w:ascii="Times New Roman" w:hAnsi="Times New Roman" w:eastAsia="仿宋"/>
          <w:color w:val="auto"/>
          <w:sz w:val="32"/>
          <w:szCs w:val="32"/>
          <w:shd w:val="clear" w:color="auto" w:fill="auto"/>
          <w:lang w:val="en-US" w:eastAsia="zh-CN"/>
        </w:rPr>
      </w:pPr>
      <w:r>
        <w:rPr>
          <w:rFonts w:ascii="仿宋" w:hAnsi="仿宋" w:eastAsia="仿宋" w:cs="宋体"/>
          <w:color w:val="auto"/>
          <w:sz w:val="32"/>
          <w:szCs w:val="32"/>
          <w:shd w:val="clear" w:color="auto" w:fill="auto"/>
        </w:rPr>
        <w:t>2-6.辽宁省绿色矿山</w:t>
      </w:r>
      <w:r>
        <w:rPr>
          <w:rFonts w:hint="eastAsia" w:ascii="仿宋" w:hAnsi="仿宋" w:eastAsia="仿宋" w:cs="宋体"/>
          <w:color w:val="auto"/>
          <w:sz w:val="32"/>
          <w:szCs w:val="32"/>
          <w:shd w:val="clear" w:color="auto" w:fill="auto"/>
        </w:rPr>
        <w:t>名录</w:t>
      </w:r>
      <w:r>
        <w:rPr>
          <w:rFonts w:ascii="仿宋" w:hAnsi="仿宋" w:eastAsia="仿宋" w:cs="宋体"/>
          <w:color w:val="auto"/>
          <w:sz w:val="32"/>
          <w:szCs w:val="32"/>
          <w:shd w:val="clear" w:color="auto" w:fill="auto"/>
        </w:rPr>
        <w:t>管理及</w:t>
      </w:r>
      <w:r>
        <w:rPr>
          <w:rFonts w:hint="eastAsia" w:ascii="仿宋" w:hAnsi="仿宋" w:eastAsia="仿宋" w:cs="宋体"/>
          <w:color w:val="auto"/>
          <w:sz w:val="32"/>
          <w:szCs w:val="32"/>
          <w:shd w:val="clear" w:color="auto" w:fill="auto"/>
        </w:rPr>
        <w:t>申报</w:t>
      </w:r>
      <w:r>
        <w:rPr>
          <w:rFonts w:ascii="仿宋" w:hAnsi="仿宋" w:eastAsia="仿宋" w:cs="宋体"/>
          <w:color w:val="auto"/>
          <w:sz w:val="32"/>
          <w:szCs w:val="32"/>
          <w:shd w:val="clear" w:color="auto" w:fill="auto"/>
        </w:rPr>
        <w:t>指南</w:t>
      </w:r>
    </w:p>
    <w:p w14:paraId="05B12866">
      <w:pPr>
        <w:autoSpaceDE w:val="0"/>
        <w:autoSpaceDN w:val="0"/>
        <w:adjustRightInd w:val="0"/>
        <w:rPr>
          <w:rFonts w:ascii="Times New Roman" w:hAnsi="Times New Roman" w:eastAsia="仿宋"/>
          <w:b/>
          <w:sz w:val="32"/>
          <w:szCs w:val="32"/>
        </w:rPr>
      </w:pPr>
      <w:r>
        <w:rPr>
          <w:rFonts w:ascii="Times New Roman" w:hAnsi="Times New Roman" w:eastAsia="仿宋"/>
          <w:b/>
          <w:sz w:val="32"/>
          <w:szCs w:val="32"/>
        </w:rPr>
        <w:br w:type="page"/>
      </w:r>
    </w:p>
    <w:p w14:paraId="1C0BD460">
      <w:pPr>
        <w:pStyle w:val="11"/>
        <w:widowControl/>
        <w:shd w:val="clear" w:color="auto" w:fill="FFFFFF"/>
        <w:spacing w:beforeAutospacing="0" w:afterAutospacing="0" w:line="360" w:lineRule="atLeast"/>
        <w:jc w:val="both"/>
        <w:rPr>
          <w:rFonts w:hint="eastAsia" w:ascii="黑体" w:hAnsi="黑体" w:eastAsia="黑体" w:cs="宋体"/>
          <w:color w:val="auto"/>
          <w:sz w:val="36"/>
          <w:szCs w:val="36"/>
          <w:shd w:val="clear" w:color="auto" w:fill="FFFFFF"/>
        </w:rPr>
      </w:pPr>
      <w:r>
        <w:rPr>
          <w:rFonts w:hint="eastAsia" w:ascii="黑体" w:hAnsi="黑体" w:eastAsia="黑体" w:cs="宋体"/>
          <w:color w:val="auto"/>
          <w:sz w:val="36"/>
          <w:szCs w:val="36"/>
          <w:shd w:val="clear" w:color="auto" w:fill="FFFFFF"/>
        </w:rPr>
        <w:t>附件1</w:t>
      </w:r>
    </w:p>
    <w:p w14:paraId="2CAC59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sz w:val="44"/>
          <w:szCs w:val="44"/>
          <w:lang w:eastAsia="zh-CN"/>
        </w:rPr>
        <w:t>绿色矿山名录动态管理要求</w:t>
      </w:r>
    </w:p>
    <w:p w14:paraId="30C8668E">
      <w:pPr>
        <w:pStyle w:val="11"/>
        <w:widowControl/>
        <w:adjustRightInd w:val="0"/>
        <w:snapToGrid w:val="0"/>
        <w:spacing w:before="0" w:beforeAutospacing="0" w:after="0" w:afterAutospacing="0" w:line="360" w:lineRule="auto"/>
        <w:ind w:firstLine="640" w:firstLineChars="200"/>
        <w:jc w:val="both"/>
        <w:rPr>
          <w:rFonts w:hint="eastAsia" w:ascii="仿宋" w:hAnsi="仿宋" w:eastAsia="仿宋" w:cs="宋体"/>
          <w:color w:val="auto"/>
          <w:sz w:val="32"/>
          <w:szCs w:val="32"/>
        </w:rPr>
      </w:pPr>
    </w:p>
    <w:p w14:paraId="0B59FF69">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省自然资源厅负责建立和管理省级绿色矿山名录，对通过核查并经公示无异议达到省级绿色矿山标准的矿山企业，按程序纳入省级绿色矿山名录进行管理。</w:t>
      </w:r>
    </w:p>
    <w:p w14:paraId="4A19D809">
      <w:pPr>
        <w:pStyle w:val="11"/>
        <w:widowControl/>
        <w:shd w:val="clear" w:color="auto" w:fill="FFFFFF"/>
        <w:spacing w:beforeAutospacing="0" w:afterAutospacing="0" w:line="360" w:lineRule="atLeast"/>
        <w:ind w:firstLine="572"/>
        <w:jc w:val="both"/>
        <w:rPr>
          <w:rFonts w:ascii="黑体" w:hAnsi="黑体" w:eastAsia="黑体" w:cs="宋体"/>
          <w:color w:val="auto"/>
          <w:sz w:val="32"/>
          <w:szCs w:val="32"/>
          <w:shd w:val="clear" w:color="auto" w:fill="FFFFFF"/>
        </w:rPr>
      </w:pPr>
      <w:r>
        <w:rPr>
          <w:rFonts w:ascii="黑体" w:hAnsi="黑体" w:eastAsia="黑体" w:cs="宋体"/>
          <w:color w:val="auto"/>
          <w:sz w:val="32"/>
          <w:szCs w:val="32"/>
          <w:shd w:val="clear" w:color="auto" w:fill="FFFFFF"/>
        </w:rPr>
        <w:t>一、申报与评估</w:t>
      </w:r>
    </w:p>
    <w:p w14:paraId="3D7BB351">
      <w:pPr>
        <w:autoSpaceDE w:val="0"/>
        <w:autoSpaceDN w:val="0"/>
        <w:adjustRightInd w:val="0"/>
        <w:ind w:firstLine="640" w:firstLineChars="200"/>
        <w:rPr>
          <w:rFonts w:ascii="楷体" w:hAnsi="楷体" w:eastAsia="楷体"/>
          <w:color w:val="auto"/>
          <w:sz w:val="32"/>
          <w:szCs w:val="32"/>
        </w:rPr>
      </w:pPr>
      <w:r>
        <w:rPr>
          <w:rFonts w:ascii="楷体" w:hAnsi="楷体" w:eastAsia="楷体"/>
          <w:color w:val="auto"/>
          <w:sz w:val="32"/>
          <w:szCs w:val="32"/>
        </w:rPr>
        <w:t>（一）申报条件</w:t>
      </w:r>
    </w:p>
    <w:p w14:paraId="13EF28FB">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1、《采矿许可证》《安全许可证》《营业执照》证照合法有效，依法办理《建设项目环境影响评价报告》及验收意见、《排污许可证》，并依法完成竣工环保验收；</w:t>
      </w:r>
    </w:p>
    <w:p w14:paraId="4A8D92BB">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2、矿产资源开发利用活动符合矿产资源规划的要求和规定，符合国家产业政策；</w:t>
      </w:r>
    </w:p>
    <w:p w14:paraId="34FB6119">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 w:hAnsi="仿宋" w:eastAsia="仿宋" w:cs="宋体"/>
          <w:color w:val="auto"/>
          <w:sz w:val="32"/>
          <w:szCs w:val="32"/>
        </w:rPr>
      </w:pPr>
      <w:r>
        <w:rPr>
          <w:rFonts w:hint="eastAsia" w:ascii="仿宋" w:hAnsi="仿宋" w:eastAsia="仿宋" w:cs="宋体"/>
          <w:color w:val="auto"/>
          <w:sz w:val="32"/>
          <w:szCs w:val="32"/>
        </w:rPr>
        <w:t>3、矿山企业要落实矿山开发利用、生态修复、环境保护等方案要求，“边开采、边修复”并及时向社会公开；完成绿色矿山建设，经自评估达到绿色矿山建设要求并编制自评估报告；</w:t>
      </w:r>
    </w:p>
    <w:p w14:paraId="760B8867">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ascii="仿宋" w:hAnsi="仿宋" w:eastAsia="仿宋" w:cs="宋体"/>
          <w:color w:val="auto"/>
          <w:sz w:val="32"/>
          <w:szCs w:val="32"/>
        </w:rPr>
      </w:pPr>
      <w:r>
        <w:rPr>
          <w:rFonts w:hint="eastAsia" w:ascii="仿宋" w:hAnsi="仿宋" w:eastAsia="仿宋" w:cs="宋体"/>
          <w:color w:val="auto"/>
          <w:sz w:val="32"/>
          <w:szCs w:val="32"/>
        </w:rPr>
        <w:t>4、近三年内（自遴选通知下发之日起前三年），未受到自然资源和生态环境等部门行政处罚，或受到处罚在履行期内已执行到位，且未发生过较大及以上安全生产事故、环境事件的；</w:t>
      </w:r>
    </w:p>
    <w:p w14:paraId="5044EA6C">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5、矿山参加遴选期间，矿业权人未被列入矿业权人勘查开采信息公示系统异常名录或严重失信主体（经改正后移除的除外）；</w:t>
      </w:r>
    </w:p>
    <w:p w14:paraId="21556410">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6、矿山处于正常运营状态且剩余储量可采年限不少于3年；</w:t>
      </w:r>
      <w:r>
        <w:rPr>
          <w:rFonts w:hint="eastAsia" w:ascii="仿宋" w:hAnsi="仿宋" w:eastAsia="仿宋" w:cs="宋体"/>
          <w:color w:val="auto"/>
          <w:sz w:val="32"/>
          <w:szCs w:val="32"/>
        </w:rPr>
        <w:br w:type="textWrapping"/>
      </w:r>
      <w:r>
        <w:rPr>
          <w:rFonts w:hint="eastAsia" w:ascii="仿宋" w:hAnsi="仿宋" w:eastAsia="仿宋" w:cs="宋体"/>
          <w:color w:val="auto"/>
          <w:sz w:val="32"/>
          <w:szCs w:val="32"/>
        </w:rPr>
        <w:t>　　7、矿区范围未涉及生态保护红线（国家有规定的除外），符合国土空间规划及规划环评要求。</w:t>
      </w:r>
    </w:p>
    <w:p w14:paraId="04D32604">
      <w:pPr>
        <w:autoSpaceDE w:val="0"/>
        <w:autoSpaceDN w:val="0"/>
        <w:adjustRightInd w:val="0"/>
        <w:ind w:firstLine="640" w:firstLineChars="200"/>
        <w:rPr>
          <w:rFonts w:ascii="楷体" w:hAnsi="楷体" w:eastAsia="楷体"/>
          <w:color w:val="auto"/>
          <w:sz w:val="32"/>
          <w:szCs w:val="32"/>
        </w:rPr>
      </w:pPr>
      <w:r>
        <w:rPr>
          <w:rFonts w:ascii="楷体" w:hAnsi="楷体" w:eastAsia="楷体"/>
          <w:color w:val="auto"/>
          <w:sz w:val="32"/>
          <w:szCs w:val="32"/>
        </w:rPr>
        <w:t>（</w:t>
      </w:r>
      <w:r>
        <w:rPr>
          <w:rFonts w:hint="eastAsia" w:ascii="楷体" w:hAnsi="楷体" w:eastAsia="楷体"/>
          <w:color w:val="auto"/>
          <w:sz w:val="32"/>
          <w:szCs w:val="32"/>
        </w:rPr>
        <w:t>二</w:t>
      </w:r>
      <w:r>
        <w:rPr>
          <w:rFonts w:ascii="楷体" w:hAnsi="楷体" w:eastAsia="楷体"/>
          <w:color w:val="auto"/>
          <w:sz w:val="32"/>
          <w:szCs w:val="32"/>
        </w:rPr>
        <w:t>）申报</w:t>
      </w:r>
      <w:r>
        <w:rPr>
          <w:rFonts w:hint="eastAsia" w:ascii="楷体" w:hAnsi="楷体" w:eastAsia="楷体"/>
          <w:color w:val="auto"/>
          <w:sz w:val="32"/>
          <w:szCs w:val="32"/>
        </w:rPr>
        <w:t>程序</w:t>
      </w:r>
    </w:p>
    <w:p w14:paraId="448D8213">
      <w:pPr>
        <w:pStyle w:val="11"/>
        <w:widowControl/>
        <w:adjustRightInd w:val="0"/>
        <w:snapToGrid w:val="0"/>
        <w:spacing w:before="0" w:beforeAutospacing="0" w:after="0" w:afterAutospacing="0" w:line="360" w:lineRule="auto"/>
        <w:ind w:firstLine="643" w:firstLineChars="200"/>
        <w:jc w:val="both"/>
        <w:rPr>
          <w:rFonts w:hint="eastAsia" w:ascii="仿宋" w:hAnsi="仿宋" w:eastAsia="仿宋" w:cs="宋体"/>
          <w:color w:val="auto"/>
          <w:sz w:val="32"/>
          <w:szCs w:val="32"/>
        </w:rPr>
      </w:pPr>
      <w:r>
        <w:rPr>
          <w:rFonts w:hint="eastAsia" w:ascii="仿宋" w:hAnsi="仿宋" w:eastAsia="仿宋" w:cs="宋体"/>
          <w:b/>
          <w:bCs/>
          <w:color w:val="auto"/>
          <w:sz w:val="32"/>
          <w:szCs w:val="32"/>
          <w:shd w:val="clear" w:color="auto" w:fill="auto"/>
          <w:lang w:eastAsia="zh-CN"/>
        </w:rPr>
        <w:t>企业申报。</w:t>
      </w:r>
      <w:r>
        <w:rPr>
          <w:rFonts w:hint="eastAsia" w:ascii="仿宋" w:hAnsi="仿宋" w:eastAsia="仿宋" w:cs="宋体"/>
          <w:color w:val="auto"/>
          <w:sz w:val="32"/>
          <w:szCs w:val="32"/>
          <w:shd w:val="clear" w:color="auto" w:fill="auto"/>
        </w:rPr>
        <w:t>矿山企业申报绿色矿山</w:t>
      </w:r>
      <w:r>
        <w:rPr>
          <w:rFonts w:hint="eastAsia" w:ascii="仿宋" w:hAnsi="仿宋" w:eastAsia="仿宋" w:cs="宋体"/>
          <w:color w:val="auto"/>
          <w:sz w:val="32"/>
          <w:szCs w:val="32"/>
          <w:shd w:val="clear" w:color="auto" w:fill="auto"/>
          <w:lang w:eastAsia="zh-CN"/>
        </w:rPr>
        <w:t>前</w:t>
      </w:r>
      <w:r>
        <w:rPr>
          <w:rFonts w:hint="eastAsia" w:ascii="仿宋" w:hAnsi="仿宋" w:eastAsia="仿宋" w:cs="宋体"/>
          <w:color w:val="auto"/>
          <w:sz w:val="32"/>
          <w:szCs w:val="32"/>
          <w:shd w:val="clear" w:color="auto" w:fill="auto"/>
        </w:rPr>
        <w:t>，应当开展绿色矿山自评估并形成评估报告，并对自评估报告的真</w:t>
      </w:r>
      <w:r>
        <w:rPr>
          <w:rFonts w:hint="eastAsia" w:ascii="仿宋" w:hAnsi="仿宋" w:eastAsia="仿宋" w:cs="宋体"/>
          <w:color w:val="auto"/>
          <w:sz w:val="32"/>
          <w:szCs w:val="32"/>
        </w:rPr>
        <w:t>实性负责，自评估可自行开展或者委托有关机构进行。自评估报告完成后，可向矿山所在地县级自然资源主管部门报送申报材料。</w:t>
      </w:r>
    </w:p>
    <w:p w14:paraId="34BFDD25">
      <w:pPr>
        <w:pStyle w:val="11"/>
        <w:widowControl/>
        <w:adjustRightInd w:val="0"/>
        <w:snapToGrid w:val="0"/>
        <w:spacing w:before="0" w:beforeAutospacing="0" w:after="0" w:afterAutospacing="0" w:line="360" w:lineRule="auto"/>
        <w:ind w:firstLine="643" w:firstLineChars="200"/>
        <w:jc w:val="both"/>
        <w:rPr>
          <w:rFonts w:hint="eastAsia" w:ascii="仿宋" w:hAnsi="仿宋" w:eastAsia="仿宋" w:cs="宋体"/>
          <w:color w:val="auto"/>
          <w:sz w:val="32"/>
          <w:szCs w:val="32"/>
          <w:lang w:eastAsia="zh-CN"/>
        </w:rPr>
      </w:pPr>
      <w:r>
        <w:rPr>
          <w:rFonts w:hint="eastAsia" w:ascii="仿宋" w:hAnsi="仿宋" w:eastAsia="仿宋" w:cs="宋体"/>
          <w:b/>
          <w:bCs/>
          <w:color w:val="auto"/>
          <w:sz w:val="32"/>
          <w:szCs w:val="32"/>
          <w:lang w:eastAsia="zh-CN"/>
        </w:rPr>
        <w:t>县级初审。</w:t>
      </w:r>
      <w:r>
        <w:rPr>
          <w:rFonts w:hint="eastAsia" w:ascii="仿宋" w:hAnsi="仿宋" w:eastAsia="仿宋" w:cs="宋体"/>
          <w:color w:val="auto"/>
          <w:sz w:val="32"/>
          <w:szCs w:val="32"/>
        </w:rPr>
        <w:t>县级自然资源主管部门收到申报请求后，会同生态环境、矿山安全、林草等部门对绿色矿山申报材料进行联合</w:t>
      </w:r>
      <w:r>
        <w:rPr>
          <w:rFonts w:hint="eastAsia" w:ascii="仿宋" w:hAnsi="仿宋" w:eastAsia="仿宋" w:cs="宋体"/>
          <w:color w:val="auto"/>
          <w:sz w:val="32"/>
          <w:szCs w:val="32"/>
          <w:lang w:eastAsia="zh-CN"/>
        </w:rPr>
        <w:t>审查</w:t>
      </w:r>
      <w:r>
        <w:rPr>
          <w:rFonts w:hint="eastAsia" w:ascii="仿宋" w:hAnsi="仿宋" w:eastAsia="仿宋" w:cs="宋体"/>
          <w:color w:val="auto"/>
          <w:sz w:val="32"/>
          <w:szCs w:val="32"/>
        </w:rPr>
        <w:t>，</w:t>
      </w:r>
      <w:r>
        <w:rPr>
          <w:rFonts w:hint="eastAsia" w:ascii="仿宋" w:hAnsi="仿宋" w:eastAsia="仿宋" w:cs="宋体"/>
          <w:color w:val="auto"/>
          <w:sz w:val="32"/>
          <w:szCs w:val="32"/>
          <w:lang w:eastAsia="zh-CN"/>
        </w:rPr>
        <w:t>通过初审的</w:t>
      </w:r>
      <w:r>
        <w:rPr>
          <w:rFonts w:hint="eastAsia" w:ascii="仿宋" w:hAnsi="仿宋" w:eastAsia="仿宋" w:cs="宋体"/>
          <w:color w:val="auto"/>
          <w:sz w:val="32"/>
          <w:szCs w:val="32"/>
        </w:rPr>
        <w:t>出具初审意见并上报市级自然资源主管部门</w:t>
      </w:r>
      <w:r>
        <w:rPr>
          <w:rFonts w:hint="eastAsia" w:ascii="仿宋" w:hAnsi="仿宋" w:eastAsia="仿宋" w:cs="宋体"/>
          <w:color w:val="auto"/>
          <w:sz w:val="32"/>
          <w:szCs w:val="32"/>
          <w:lang w:eastAsia="zh-CN"/>
        </w:rPr>
        <w:t>。审查发现，</w:t>
      </w:r>
      <w:r>
        <w:rPr>
          <w:rFonts w:hint="eastAsia" w:ascii="仿宋" w:hAnsi="仿宋" w:eastAsia="仿宋" w:cs="宋体"/>
          <w:color w:val="auto"/>
          <w:sz w:val="32"/>
          <w:szCs w:val="32"/>
        </w:rPr>
        <w:t>存在弄虚作假行为的，不予通过审核，自然资源主管部门及时相关情况通报相关部门。</w:t>
      </w:r>
    </w:p>
    <w:p w14:paraId="66C25042">
      <w:pPr>
        <w:pStyle w:val="11"/>
        <w:widowControl/>
        <w:adjustRightInd w:val="0"/>
        <w:snapToGrid w:val="0"/>
        <w:spacing w:before="0" w:beforeAutospacing="0" w:after="0" w:afterAutospacing="0" w:line="360" w:lineRule="auto"/>
        <w:ind w:firstLine="643" w:firstLineChars="200"/>
        <w:jc w:val="both"/>
        <w:rPr>
          <w:rFonts w:hint="eastAsia" w:ascii="仿宋" w:hAnsi="仿宋" w:eastAsia="仿宋" w:cs="宋体"/>
          <w:color w:val="auto"/>
          <w:sz w:val="32"/>
          <w:szCs w:val="32"/>
          <w:lang w:eastAsia="zh-CN"/>
        </w:rPr>
      </w:pPr>
      <w:r>
        <w:rPr>
          <w:rFonts w:hint="eastAsia" w:ascii="仿宋" w:hAnsi="仿宋" w:eastAsia="仿宋" w:cs="宋体"/>
          <w:b/>
          <w:bCs/>
          <w:color w:val="auto"/>
          <w:sz w:val="32"/>
          <w:szCs w:val="32"/>
          <w:lang w:eastAsia="zh-CN"/>
        </w:rPr>
        <w:t>市级评估。</w:t>
      </w:r>
      <w:r>
        <w:rPr>
          <w:rFonts w:hint="eastAsia" w:ascii="仿宋" w:hAnsi="仿宋" w:eastAsia="仿宋" w:cs="宋体"/>
          <w:color w:val="auto"/>
          <w:sz w:val="32"/>
          <w:szCs w:val="32"/>
        </w:rPr>
        <w:t>经</w:t>
      </w:r>
      <w:r>
        <w:rPr>
          <w:rFonts w:hint="eastAsia" w:ascii="仿宋" w:hAnsi="仿宋" w:eastAsia="仿宋" w:cs="宋体"/>
          <w:color w:val="auto"/>
          <w:sz w:val="32"/>
          <w:szCs w:val="32"/>
          <w:lang w:eastAsia="zh-CN"/>
        </w:rPr>
        <w:t>县级初审</w:t>
      </w:r>
      <w:r>
        <w:rPr>
          <w:rFonts w:hint="eastAsia" w:ascii="仿宋" w:hAnsi="仿宋" w:eastAsia="仿宋" w:cs="宋体"/>
          <w:color w:val="auto"/>
          <w:sz w:val="32"/>
          <w:szCs w:val="32"/>
        </w:rPr>
        <w:t>符合申报要求的，由市级自然资源主管部门以政府购买服务的方式委托第三方评估机构开展评估工作。对通过第三方机构评估的矿山企业，市级自然资源主管部门会同生态环境、矿山安全、</w:t>
      </w:r>
      <w:r>
        <w:rPr>
          <w:rFonts w:hint="eastAsia" w:ascii="仿宋" w:hAnsi="仿宋" w:eastAsia="仿宋" w:cs="宋体"/>
          <w:color w:val="auto"/>
          <w:sz w:val="32"/>
          <w:szCs w:val="32"/>
          <w:lang w:eastAsia="zh-CN"/>
        </w:rPr>
        <w:t>工信和</w:t>
      </w:r>
      <w:r>
        <w:rPr>
          <w:rFonts w:hint="eastAsia" w:ascii="仿宋" w:hAnsi="仿宋" w:eastAsia="仿宋" w:cs="宋体"/>
          <w:color w:val="auto"/>
          <w:sz w:val="32"/>
          <w:szCs w:val="32"/>
        </w:rPr>
        <w:t>林草等部门进行联合审核并出具审核意见。经审核符合绿色矿山建设要求的，向省自然资源厅推荐参加遴选。对于证照不全，但已达到绿色矿山标准的矿山企业，经市级自然资源主管部门</w:t>
      </w:r>
      <w:r>
        <w:rPr>
          <w:rFonts w:hint="eastAsia" w:ascii="仿宋" w:hAnsi="仿宋" w:eastAsia="仿宋" w:cs="宋体"/>
          <w:color w:val="auto"/>
          <w:sz w:val="32"/>
          <w:szCs w:val="32"/>
          <w:lang w:eastAsia="zh-CN"/>
        </w:rPr>
        <w:t>公示并</w:t>
      </w:r>
      <w:r>
        <w:rPr>
          <w:rFonts w:hint="eastAsia" w:ascii="仿宋" w:hAnsi="仿宋" w:eastAsia="仿宋" w:cs="宋体"/>
          <w:color w:val="auto"/>
          <w:sz w:val="32"/>
          <w:szCs w:val="32"/>
        </w:rPr>
        <w:t>储备</w:t>
      </w:r>
      <w:r>
        <w:rPr>
          <w:rFonts w:hint="eastAsia" w:ascii="仿宋" w:hAnsi="仿宋" w:eastAsia="仿宋" w:cs="宋体"/>
          <w:color w:val="auto"/>
          <w:sz w:val="32"/>
          <w:szCs w:val="32"/>
          <w:lang w:eastAsia="zh-CN"/>
        </w:rPr>
        <w:t>。</w:t>
      </w:r>
    </w:p>
    <w:p w14:paraId="702513B4">
      <w:pPr>
        <w:pStyle w:val="11"/>
        <w:widowControl/>
        <w:adjustRightInd w:val="0"/>
        <w:snapToGrid w:val="0"/>
        <w:spacing w:before="0" w:beforeAutospacing="0" w:after="0" w:afterAutospacing="0" w:line="360" w:lineRule="auto"/>
        <w:ind w:firstLine="643" w:firstLineChars="200"/>
        <w:jc w:val="both"/>
        <w:rPr>
          <w:rFonts w:ascii="仿宋" w:hAnsi="仿宋" w:eastAsia="仿宋" w:cs="宋体"/>
          <w:color w:val="auto"/>
          <w:sz w:val="32"/>
          <w:szCs w:val="32"/>
        </w:rPr>
      </w:pPr>
      <w:r>
        <w:rPr>
          <w:rFonts w:hint="eastAsia" w:ascii="仿宋" w:hAnsi="仿宋" w:eastAsia="仿宋" w:cs="宋体"/>
          <w:b/>
          <w:bCs/>
          <w:color w:val="auto"/>
          <w:sz w:val="32"/>
          <w:szCs w:val="32"/>
          <w:lang w:eastAsia="zh-CN"/>
        </w:rPr>
        <w:t>省级核查。</w:t>
      </w:r>
      <w:r>
        <w:rPr>
          <w:rFonts w:hint="eastAsia" w:ascii="仿宋" w:hAnsi="仿宋" w:eastAsia="仿宋" w:cs="宋体"/>
          <w:color w:val="auto"/>
          <w:sz w:val="32"/>
          <w:szCs w:val="32"/>
        </w:rPr>
        <w:t>市级推荐参加遴选的矿山，由省自然资源厅以政府购买服务方式委托第三方机构进行实地核查。经核查达到绿色矿山标准的矿山企业，由省自然资源厅会同生态环境、矿山安全</w:t>
      </w:r>
      <w:r>
        <w:rPr>
          <w:rFonts w:hint="eastAsia" w:ascii="仿宋" w:hAnsi="仿宋" w:eastAsia="仿宋" w:cs="宋体"/>
          <w:color w:val="auto"/>
          <w:sz w:val="32"/>
          <w:szCs w:val="32"/>
          <w:lang w:eastAsia="zh-CN"/>
        </w:rPr>
        <w:t>、工信和</w:t>
      </w:r>
      <w:r>
        <w:rPr>
          <w:rFonts w:hint="eastAsia" w:ascii="仿宋" w:hAnsi="仿宋" w:eastAsia="仿宋" w:cs="宋体"/>
          <w:color w:val="auto"/>
          <w:sz w:val="32"/>
          <w:szCs w:val="32"/>
        </w:rPr>
        <w:t>林草等部门同意后，在门户网站向社会进行公示，公示期为5个工作日。公示期结束无异议的，按程序纳入省级绿色矿山名录。</w:t>
      </w:r>
    </w:p>
    <w:p w14:paraId="351E3715">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省自然资源厅</w:t>
      </w:r>
      <w:r>
        <w:rPr>
          <w:rFonts w:hint="eastAsia" w:ascii="仿宋" w:hAnsi="仿宋" w:eastAsia="仿宋" w:cs="宋体"/>
          <w:color w:val="auto"/>
          <w:sz w:val="32"/>
          <w:szCs w:val="32"/>
          <w:shd w:val="clear" w:color="auto" w:fill="auto"/>
        </w:rPr>
        <w:t>可按照自然资源部的</w:t>
      </w:r>
      <w:r>
        <w:rPr>
          <w:rFonts w:hint="eastAsia" w:ascii="仿宋" w:hAnsi="仿宋" w:eastAsia="仿宋" w:cs="宋体"/>
          <w:color w:val="auto"/>
          <w:sz w:val="32"/>
          <w:szCs w:val="32"/>
          <w:shd w:val="clear" w:color="auto" w:fill="auto"/>
          <w:lang w:eastAsia="zh-CN"/>
        </w:rPr>
        <w:t>工作部署</w:t>
      </w:r>
      <w:r>
        <w:rPr>
          <w:rFonts w:hint="eastAsia" w:ascii="仿宋" w:hAnsi="仿宋" w:eastAsia="仿宋" w:cs="宋体"/>
          <w:color w:val="auto"/>
          <w:sz w:val="32"/>
          <w:szCs w:val="32"/>
          <w:shd w:val="clear" w:color="auto" w:fill="auto"/>
        </w:rPr>
        <w:t>，从省级绿色矿山</w:t>
      </w:r>
      <w:r>
        <w:rPr>
          <w:rFonts w:hint="eastAsia" w:ascii="仿宋" w:hAnsi="仿宋" w:eastAsia="仿宋" w:cs="宋体"/>
          <w:color w:val="auto"/>
          <w:sz w:val="32"/>
          <w:szCs w:val="32"/>
          <w:shd w:val="clear" w:color="auto" w:fill="auto"/>
          <w:lang w:eastAsia="zh-CN"/>
        </w:rPr>
        <w:t>名录</w:t>
      </w:r>
      <w:r>
        <w:rPr>
          <w:rFonts w:hint="eastAsia" w:ascii="仿宋" w:hAnsi="仿宋" w:eastAsia="仿宋" w:cs="宋体"/>
          <w:color w:val="auto"/>
          <w:sz w:val="32"/>
          <w:szCs w:val="32"/>
          <w:shd w:val="clear" w:color="auto" w:fill="auto"/>
        </w:rPr>
        <w:t>中择优推荐参加国家级绿色矿山遴选。经自然资源部公告纳入国家级绿色矿山名录后，</w:t>
      </w:r>
      <w:r>
        <w:rPr>
          <w:rFonts w:hint="eastAsia" w:ascii="仿宋" w:hAnsi="仿宋" w:eastAsia="仿宋" w:cs="宋体"/>
          <w:color w:val="auto"/>
          <w:sz w:val="32"/>
          <w:szCs w:val="32"/>
        </w:rPr>
        <w:t>自动移出省级绿色矿山名录。</w:t>
      </w:r>
    </w:p>
    <w:p w14:paraId="550E0A72">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经核查不符合绿色矿山建设要求的，或者社会公众提出异议的，转交市级自然资源主管部门对相关内容进行复核。经复核，所</w:t>
      </w:r>
      <w:r>
        <w:rPr>
          <w:rFonts w:hint="eastAsia" w:ascii="仿宋" w:hAnsi="仿宋" w:eastAsia="仿宋" w:cs="宋体"/>
          <w:color w:val="auto"/>
          <w:sz w:val="32"/>
          <w:szCs w:val="32"/>
          <w:shd w:val="clear" w:color="auto" w:fill="auto"/>
        </w:rPr>
        <w:t>提异议事项属实且在评估结果保留期限内不能完成整改的，</w:t>
      </w:r>
      <w:r>
        <w:rPr>
          <w:rFonts w:hint="eastAsia" w:ascii="仿宋" w:hAnsi="仿宋" w:eastAsia="仿宋" w:cs="宋体"/>
          <w:color w:val="auto"/>
          <w:sz w:val="32"/>
          <w:szCs w:val="32"/>
          <w:shd w:val="clear" w:color="auto" w:fill="auto"/>
          <w:lang w:eastAsia="zh-CN"/>
        </w:rPr>
        <w:t>及时移出</w:t>
      </w:r>
      <w:r>
        <w:rPr>
          <w:rFonts w:hint="eastAsia" w:ascii="仿宋" w:hAnsi="仿宋" w:eastAsia="仿宋" w:cs="宋体"/>
          <w:color w:val="auto"/>
          <w:sz w:val="32"/>
          <w:szCs w:val="32"/>
          <w:shd w:val="clear" w:color="auto" w:fill="auto"/>
        </w:rPr>
        <w:t>省</w:t>
      </w:r>
      <w:r>
        <w:rPr>
          <w:rFonts w:hint="eastAsia" w:ascii="仿宋" w:hAnsi="仿宋" w:eastAsia="仿宋" w:cs="宋体"/>
          <w:color w:val="auto"/>
          <w:sz w:val="32"/>
          <w:szCs w:val="32"/>
        </w:rPr>
        <w:t>级绿色矿山名录；完成整改的，可按程序参加省级绿色矿山遴选。</w:t>
      </w:r>
    </w:p>
    <w:p w14:paraId="5C8BAFAB">
      <w:pPr>
        <w:pStyle w:val="11"/>
        <w:widowControl/>
        <w:shd w:val="clear" w:color="auto" w:fill="FFFFFF"/>
        <w:spacing w:beforeAutospacing="0" w:afterAutospacing="0" w:line="360" w:lineRule="atLeast"/>
        <w:ind w:firstLine="572"/>
        <w:jc w:val="both"/>
        <w:rPr>
          <w:rFonts w:ascii="宋体" w:hAnsi="宋体" w:cs="宋体"/>
          <w:b/>
          <w:bCs/>
          <w:color w:val="auto"/>
          <w:sz w:val="32"/>
          <w:szCs w:val="32"/>
          <w:shd w:val="clear" w:color="auto" w:fill="FFFFFF"/>
        </w:rPr>
      </w:pPr>
      <w:r>
        <w:rPr>
          <w:rFonts w:hint="eastAsia" w:ascii="黑体" w:hAnsi="黑体" w:eastAsia="黑体" w:cs="宋体"/>
          <w:color w:val="auto"/>
          <w:sz w:val="32"/>
          <w:szCs w:val="32"/>
          <w:shd w:val="clear" w:color="auto" w:fill="FFFFFF"/>
        </w:rPr>
        <w:t>二、名录管理要求</w:t>
      </w:r>
    </w:p>
    <w:p w14:paraId="48840170">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省级绿色矿山名录中的矿山企业，如发生采矿权人、矿山企业名称已经依法变更等情况的，采矿权人应及时向省自然资源厅申请变更相关信息；如发生扩大矿区范围、开采方式已经依法变更等情况的，采矿权人应当按照有关标准重新完善绿色矿山建设内容，并开展自评估，由市级自然资源主管部门组织第三方评估机构进行核查后报省自然资源厅确认是否继续保留在省级绿色矿山名录。</w:t>
      </w:r>
    </w:p>
    <w:p w14:paraId="62F30938">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发现绿色矿山存在以下问题之一的，移出省级绿色矿山名录，不再享受相应支持政策，并向社会公告。</w:t>
      </w:r>
    </w:p>
    <w:p w14:paraId="043CAB76">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1</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rPr>
        <w:t>《采矿许可证》《安全生产许可证》《营业执照》证照不齐、过期未及时延续或被吊销的；</w:t>
      </w:r>
    </w:p>
    <w:p w14:paraId="531062B3">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2</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rPr>
        <w:t>受到行政处罚后在履行期限内未执行到位的；</w:t>
      </w:r>
    </w:p>
    <w:p w14:paraId="6D0D1466">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3</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rPr>
        <w:t>关闭、因企业自身原因未正常生产运营的；</w:t>
      </w:r>
    </w:p>
    <w:p w14:paraId="52578D7F">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4</w:t>
      </w:r>
      <w:r>
        <w:rPr>
          <w:rFonts w:hint="eastAsia" w:ascii="仿宋" w:hAnsi="仿宋" w:eastAsia="仿宋" w:cs="宋体"/>
          <w:color w:val="auto"/>
          <w:sz w:val="32"/>
          <w:szCs w:val="32"/>
          <w:lang w:val="en-US" w:eastAsia="zh-CN"/>
        </w:rPr>
        <w:t>.存在</w:t>
      </w:r>
      <w:r>
        <w:rPr>
          <w:rFonts w:hint="eastAsia" w:ascii="仿宋" w:hAnsi="仿宋" w:eastAsia="仿宋" w:cs="宋体"/>
          <w:color w:val="auto"/>
          <w:sz w:val="32"/>
          <w:szCs w:val="32"/>
        </w:rPr>
        <w:t>违法开采特别是越界开采、擅自改变开采方式的；</w:t>
      </w:r>
    </w:p>
    <w:p w14:paraId="797CAAB3">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5</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rPr>
        <w:t>发生较大及以上安全生产事故或环境事件的，发生土壤和地下水严重污染的；</w:t>
      </w:r>
    </w:p>
    <w:p w14:paraId="4237A4B9">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6</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rPr>
        <w:t>未落实国土空间规划和用途管制的；</w:t>
      </w:r>
    </w:p>
    <w:p w14:paraId="14A98BF5">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7</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rPr>
        <w:t>未落实生态环境影响评价、排污许可等相关制度要求且未按期整改到位的；</w:t>
      </w:r>
    </w:p>
    <w:p w14:paraId="671E13D1">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8</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rPr>
        <w:t>未按要求定期开展尾矿库污染隐患排查的或尾矿库污染防治设施未按要求建设运行的；</w:t>
      </w:r>
    </w:p>
    <w:p w14:paraId="7093B890">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9</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rPr>
        <w:t>采矿权人被列入矿业权人勘查开采信息管理系统异常名录的；</w:t>
      </w:r>
    </w:p>
    <w:p w14:paraId="76A67E76">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1</w:t>
      </w:r>
      <w:r>
        <w:rPr>
          <w:rFonts w:ascii="仿宋" w:hAnsi="仿宋" w:eastAsia="仿宋" w:cs="宋体"/>
          <w:color w:val="auto"/>
          <w:sz w:val="32"/>
          <w:szCs w:val="32"/>
        </w:rPr>
        <w:t>0</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rPr>
        <w:t>矿产资源开发利用水平被划定为落后档次的；</w:t>
      </w:r>
    </w:p>
    <w:p w14:paraId="2CFF690C">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1</w:t>
      </w:r>
      <w:r>
        <w:rPr>
          <w:rFonts w:ascii="仿宋" w:hAnsi="仿宋" w:eastAsia="仿宋" w:cs="宋体"/>
          <w:color w:val="auto"/>
          <w:sz w:val="32"/>
          <w:szCs w:val="32"/>
        </w:rPr>
        <w:t>1</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rPr>
        <w:t>被中央环保督察、巡视审计、全国人大常委会执法检查等作为典型案例通报或纳入各类警示片的；</w:t>
      </w:r>
    </w:p>
    <w:p w14:paraId="6A91ECEA">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1</w:t>
      </w:r>
      <w:r>
        <w:rPr>
          <w:rFonts w:ascii="仿宋" w:hAnsi="仿宋" w:eastAsia="仿宋" w:cs="宋体"/>
          <w:color w:val="auto"/>
          <w:sz w:val="32"/>
          <w:szCs w:val="32"/>
        </w:rPr>
        <w:t>2</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rPr>
        <w:t>发生突发事件，因企业违法违规在全国门户类网站、平台引发负面舆情的；</w:t>
      </w:r>
    </w:p>
    <w:p w14:paraId="70BA75DF">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1</w:t>
      </w:r>
      <w:r>
        <w:rPr>
          <w:rFonts w:ascii="仿宋" w:hAnsi="仿宋" w:eastAsia="仿宋" w:cs="宋体"/>
          <w:color w:val="auto"/>
          <w:sz w:val="32"/>
          <w:szCs w:val="32"/>
        </w:rPr>
        <w:t>3</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rPr>
        <w:t>弄虚作假通过绿色矿山评估的。</w:t>
      </w:r>
    </w:p>
    <w:p w14:paraId="3120F350">
      <w:pPr>
        <w:pStyle w:val="11"/>
        <w:widowControl/>
        <w:adjustRightInd w:val="0"/>
        <w:snapToGrid w:val="0"/>
        <w:spacing w:before="0" w:beforeAutospacing="0" w:after="0" w:afterAutospacing="0" w:line="360" w:lineRule="auto"/>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1</w:t>
      </w:r>
      <w:r>
        <w:rPr>
          <w:rFonts w:ascii="仿宋" w:hAnsi="仿宋" w:eastAsia="仿宋" w:cs="宋体"/>
          <w:color w:val="auto"/>
          <w:sz w:val="32"/>
          <w:szCs w:val="32"/>
        </w:rPr>
        <w:t>4</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rPr>
        <w:t>其他违法违规行为不宜继续列入名录的。</w:t>
      </w:r>
    </w:p>
    <w:p w14:paraId="1116EEC1">
      <w:pPr>
        <w:pStyle w:val="11"/>
        <w:widowControl/>
        <w:adjustRightInd w:val="0"/>
        <w:snapToGrid w:val="0"/>
        <w:spacing w:before="0" w:beforeAutospacing="0" w:after="0" w:afterAutospacing="0" w:line="360" w:lineRule="auto"/>
        <w:ind w:firstLine="600" w:firstLineChars="200"/>
        <w:jc w:val="both"/>
        <w:rPr>
          <w:rFonts w:ascii="仿宋" w:hAnsi="仿宋" w:eastAsia="仿宋" w:cs="宋体"/>
          <w:color w:val="auto"/>
          <w:sz w:val="30"/>
          <w:szCs w:val="30"/>
        </w:rPr>
      </w:pPr>
    </w:p>
    <w:p w14:paraId="72E706A8">
      <w:pPr>
        <w:pStyle w:val="11"/>
        <w:widowControl/>
        <w:adjustRightInd w:val="0"/>
        <w:snapToGrid w:val="0"/>
        <w:spacing w:before="0" w:beforeAutospacing="0" w:after="0" w:afterAutospacing="0" w:line="360" w:lineRule="auto"/>
        <w:ind w:firstLine="1500" w:firstLineChars="500"/>
        <w:jc w:val="both"/>
        <w:rPr>
          <w:rFonts w:ascii="仿宋" w:hAnsi="仿宋" w:eastAsia="仿宋" w:cs="宋体"/>
          <w:color w:val="auto"/>
          <w:sz w:val="30"/>
          <w:szCs w:val="30"/>
        </w:rPr>
      </w:pPr>
      <w:r>
        <w:rPr>
          <w:rFonts w:ascii="仿宋" w:hAnsi="仿宋" w:eastAsia="仿宋" w:cs="宋体"/>
          <w:color w:val="auto"/>
          <w:sz w:val="30"/>
          <w:szCs w:val="30"/>
        </w:rPr>
        <w:br w:type="page"/>
      </w:r>
    </w:p>
    <w:p w14:paraId="0FFE4BBD">
      <w:pPr>
        <w:adjustRightInd w:val="0"/>
        <w:snapToGrid w:val="0"/>
        <w:spacing w:line="560" w:lineRule="exact"/>
        <w:rPr>
          <w:rFonts w:ascii="Times New Roman" w:hAnsi="Times New Roman" w:eastAsia="黑体"/>
          <w:color w:val="auto"/>
          <w:sz w:val="36"/>
          <w:szCs w:val="36"/>
        </w:rPr>
      </w:pPr>
      <w:r>
        <w:rPr>
          <w:rFonts w:hint="eastAsia" w:ascii="Times New Roman" w:hAnsi="Times New Roman" w:eastAsia="黑体"/>
          <w:color w:val="auto"/>
          <w:sz w:val="36"/>
          <w:szCs w:val="36"/>
        </w:rPr>
        <w:t>附件2</w:t>
      </w:r>
      <w:r>
        <w:rPr>
          <w:rFonts w:ascii="Times New Roman" w:hAnsi="Times New Roman" w:eastAsia="黑体"/>
          <w:color w:val="auto"/>
          <w:sz w:val="36"/>
          <w:szCs w:val="36"/>
        </w:rPr>
        <w:t>-</w:t>
      </w:r>
      <w:r>
        <w:rPr>
          <w:rFonts w:hint="eastAsia" w:ascii="Times New Roman" w:hAnsi="Times New Roman" w:eastAsia="黑体"/>
          <w:color w:val="auto"/>
          <w:sz w:val="36"/>
          <w:szCs w:val="36"/>
        </w:rPr>
        <w:t>1</w:t>
      </w:r>
    </w:p>
    <w:p w14:paraId="23517D3A">
      <w:pPr>
        <w:overflowPunct w:val="0"/>
        <w:topLinePunct/>
        <w:adjustRightInd w:val="0"/>
        <w:snapToGrid w:val="0"/>
        <w:spacing w:line="360" w:lineRule="auto"/>
        <w:jc w:val="both"/>
        <w:rPr>
          <w:rFonts w:ascii="宋体" w:hAnsi="宋体" w:eastAsia="宋体"/>
          <w:b/>
          <w:snapToGrid w:val="0"/>
          <w:color w:val="auto"/>
          <w:kern w:val="0"/>
          <w:sz w:val="52"/>
        </w:rPr>
      </w:pPr>
    </w:p>
    <w:p w14:paraId="2226FDB5">
      <w:pPr>
        <w:overflowPunct w:val="0"/>
        <w:topLinePunct/>
        <w:adjustRightInd w:val="0"/>
        <w:snapToGrid w:val="0"/>
        <w:spacing w:line="360" w:lineRule="auto"/>
        <w:jc w:val="center"/>
        <w:rPr>
          <w:rFonts w:ascii="宋体" w:hAnsi="宋体" w:eastAsia="宋体"/>
          <w:b/>
          <w:snapToGrid w:val="0"/>
          <w:color w:val="auto"/>
          <w:kern w:val="0"/>
          <w:sz w:val="52"/>
        </w:rPr>
      </w:pPr>
      <w:r>
        <w:rPr>
          <w:rFonts w:hint="eastAsia" w:ascii="宋体" w:hAnsi="宋体" w:eastAsia="宋体"/>
          <w:b/>
          <w:snapToGrid w:val="0"/>
          <w:color w:val="auto"/>
          <w:kern w:val="0"/>
          <w:sz w:val="52"/>
        </w:rPr>
        <w:t>辽宁省绿色矿山建设规划</w:t>
      </w:r>
    </w:p>
    <w:p w14:paraId="72637FD3">
      <w:pPr>
        <w:overflowPunct w:val="0"/>
        <w:topLinePunct/>
        <w:adjustRightInd w:val="0"/>
        <w:snapToGrid w:val="0"/>
        <w:spacing w:line="360" w:lineRule="auto"/>
        <w:jc w:val="center"/>
        <w:rPr>
          <w:rFonts w:ascii="宋体" w:hAnsi="宋体" w:eastAsia="宋体"/>
          <w:b/>
          <w:bCs/>
          <w:snapToGrid w:val="0"/>
          <w:color w:val="auto"/>
          <w:kern w:val="0"/>
          <w:sz w:val="44"/>
        </w:rPr>
      </w:pPr>
    </w:p>
    <w:p w14:paraId="7830549A">
      <w:pPr>
        <w:overflowPunct w:val="0"/>
        <w:topLinePunct/>
        <w:adjustRightInd w:val="0"/>
        <w:snapToGrid w:val="0"/>
        <w:spacing w:line="360" w:lineRule="auto"/>
        <w:jc w:val="center"/>
        <w:rPr>
          <w:rFonts w:ascii="宋体" w:hAnsi="宋体" w:eastAsia="宋体"/>
          <w:b/>
          <w:bCs/>
          <w:snapToGrid w:val="0"/>
          <w:color w:val="auto"/>
          <w:kern w:val="0"/>
          <w:sz w:val="44"/>
        </w:rPr>
      </w:pPr>
    </w:p>
    <w:p w14:paraId="0CC76D25">
      <w:pPr>
        <w:overflowPunct w:val="0"/>
        <w:topLinePunct/>
        <w:adjustRightInd w:val="0"/>
        <w:snapToGrid w:val="0"/>
        <w:spacing w:line="360" w:lineRule="auto"/>
        <w:jc w:val="center"/>
        <w:rPr>
          <w:rFonts w:ascii="宋体" w:hAnsi="宋体" w:eastAsia="宋体"/>
          <w:b/>
          <w:bCs/>
          <w:snapToGrid w:val="0"/>
          <w:color w:val="auto"/>
          <w:kern w:val="0"/>
          <w:sz w:val="44"/>
        </w:rPr>
      </w:pPr>
    </w:p>
    <w:p w14:paraId="583C5F6C">
      <w:pPr>
        <w:overflowPunct w:val="0"/>
        <w:topLinePunct/>
        <w:adjustRightInd w:val="0"/>
        <w:snapToGrid w:val="0"/>
        <w:spacing w:line="360" w:lineRule="auto"/>
        <w:jc w:val="center"/>
        <w:rPr>
          <w:rFonts w:ascii="宋体" w:hAnsi="宋体" w:eastAsia="宋体"/>
          <w:b/>
          <w:bCs/>
          <w:snapToGrid w:val="0"/>
          <w:color w:val="auto"/>
          <w:kern w:val="0"/>
          <w:sz w:val="44"/>
        </w:rPr>
      </w:pPr>
    </w:p>
    <w:p w14:paraId="03D7CFFD">
      <w:pPr>
        <w:overflowPunct w:val="0"/>
        <w:topLinePunct/>
        <w:adjustRightInd w:val="0"/>
        <w:snapToGrid w:val="0"/>
        <w:spacing w:line="360" w:lineRule="auto"/>
        <w:jc w:val="center"/>
        <w:rPr>
          <w:rFonts w:ascii="宋体" w:hAnsi="宋体" w:eastAsia="宋体"/>
          <w:b/>
          <w:bCs/>
          <w:snapToGrid w:val="0"/>
          <w:color w:val="auto"/>
          <w:kern w:val="0"/>
          <w:sz w:val="44"/>
        </w:rPr>
      </w:pPr>
    </w:p>
    <w:p w14:paraId="563CC92C">
      <w:pPr>
        <w:overflowPunct w:val="0"/>
        <w:topLinePunct/>
        <w:adjustRightInd w:val="0"/>
        <w:snapToGrid w:val="0"/>
        <w:spacing w:line="360" w:lineRule="auto"/>
        <w:ind w:firstLine="633" w:firstLineChars="197"/>
        <w:rPr>
          <w:rFonts w:ascii="宋体" w:hAnsi="宋体" w:eastAsia="宋体"/>
          <w:b/>
          <w:bCs/>
          <w:snapToGrid w:val="0"/>
          <w:color w:val="auto"/>
          <w:kern w:val="0"/>
          <w:sz w:val="32"/>
          <w:u w:val="single"/>
        </w:rPr>
      </w:pPr>
      <w:r>
        <w:rPr>
          <w:rFonts w:hint="eastAsia" w:ascii="宋体" w:hAnsi="宋体" w:eastAsia="宋体"/>
          <w:b/>
          <w:bCs/>
          <w:snapToGrid w:val="0"/>
          <w:color w:val="auto"/>
          <w:kern w:val="0"/>
          <w:sz w:val="32"/>
        </w:rPr>
        <w:t xml:space="preserve">矿山名称（盖章）  </w:t>
      </w:r>
      <w:r>
        <w:rPr>
          <w:rFonts w:hint="eastAsia" w:ascii="宋体" w:hAnsi="宋体" w:eastAsia="宋体"/>
          <w:b/>
          <w:bCs/>
          <w:snapToGrid w:val="0"/>
          <w:color w:val="auto"/>
          <w:kern w:val="0"/>
          <w:sz w:val="32"/>
          <w:u w:val="single"/>
        </w:rPr>
        <w:t xml:space="preserve">                        </w:t>
      </w:r>
      <w:r>
        <w:rPr>
          <w:rFonts w:ascii="宋体" w:hAnsi="宋体" w:eastAsia="宋体"/>
          <w:b/>
          <w:bCs/>
          <w:snapToGrid w:val="0"/>
          <w:color w:val="auto"/>
          <w:kern w:val="0"/>
          <w:sz w:val="32"/>
          <w:u w:val="single"/>
        </w:rPr>
        <w:t xml:space="preserve">   </w:t>
      </w:r>
      <w:r>
        <w:rPr>
          <w:rFonts w:ascii="宋体" w:hAnsi="宋体" w:eastAsia="宋体"/>
          <w:b/>
          <w:bCs/>
          <w:snapToGrid w:val="0"/>
          <w:color w:val="auto"/>
          <w:kern w:val="0"/>
          <w:sz w:val="32"/>
        </w:rPr>
        <w:t xml:space="preserve"> </w:t>
      </w:r>
    </w:p>
    <w:p w14:paraId="72BF79D5">
      <w:pPr>
        <w:overflowPunct w:val="0"/>
        <w:topLinePunct/>
        <w:adjustRightInd w:val="0"/>
        <w:snapToGrid w:val="0"/>
        <w:spacing w:line="360" w:lineRule="auto"/>
        <w:ind w:firstLine="590" w:firstLineChars="147"/>
        <w:rPr>
          <w:rFonts w:ascii="宋体" w:hAnsi="宋体" w:eastAsia="宋体"/>
          <w:b/>
          <w:bCs/>
          <w:snapToGrid w:val="0"/>
          <w:color w:val="auto"/>
          <w:spacing w:val="40"/>
          <w:kern w:val="0"/>
          <w:sz w:val="32"/>
        </w:rPr>
      </w:pPr>
      <w:r>
        <w:rPr>
          <w:rFonts w:hint="eastAsia" w:ascii="宋体" w:hAnsi="宋体" w:eastAsia="宋体"/>
          <w:b/>
          <w:bCs/>
          <w:snapToGrid w:val="0"/>
          <w:color w:val="auto"/>
          <w:spacing w:val="40"/>
          <w:kern w:val="0"/>
          <w:sz w:val="32"/>
        </w:rPr>
        <w:t>采矿许可证</w:t>
      </w:r>
      <w:r>
        <w:rPr>
          <w:rFonts w:ascii="宋体" w:hAnsi="宋体" w:eastAsia="宋体"/>
          <w:b/>
          <w:bCs/>
          <w:snapToGrid w:val="0"/>
          <w:color w:val="auto"/>
          <w:spacing w:val="40"/>
          <w:kern w:val="0"/>
          <w:sz w:val="32"/>
        </w:rPr>
        <w:t>号</w:t>
      </w:r>
      <w:r>
        <w:rPr>
          <w:rFonts w:hint="eastAsia" w:ascii="宋体" w:hAnsi="宋体" w:eastAsia="宋体"/>
          <w:b/>
          <w:bCs/>
          <w:snapToGrid w:val="0"/>
          <w:color w:val="auto"/>
          <w:spacing w:val="40"/>
          <w:kern w:val="0"/>
          <w:sz w:val="32"/>
        </w:rPr>
        <w:t xml:space="preserve"> </w:t>
      </w:r>
      <w:r>
        <w:rPr>
          <w:rFonts w:ascii="宋体" w:hAnsi="宋体" w:eastAsia="宋体"/>
          <w:b/>
          <w:bCs/>
          <w:snapToGrid w:val="0"/>
          <w:color w:val="auto"/>
          <w:spacing w:val="40"/>
          <w:kern w:val="0"/>
          <w:sz w:val="32"/>
        </w:rPr>
        <w:t xml:space="preserve"> </w:t>
      </w:r>
      <w:r>
        <w:rPr>
          <w:rFonts w:ascii="宋体" w:hAnsi="宋体" w:eastAsia="宋体"/>
          <w:b/>
          <w:bCs/>
          <w:snapToGrid w:val="0"/>
          <w:color w:val="auto"/>
          <w:spacing w:val="40"/>
          <w:kern w:val="0"/>
          <w:sz w:val="32"/>
          <w:u w:val="single"/>
        </w:rPr>
        <w:t xml:space="preserve">                  </w:t>
      </w:r>
      <w:r>
        <w:rPr>
          <w:rFonts w:ascii="宋体" w:hAnsi="宋体" w:eastAsia="宋体"/>
          <w:b/>
          <w:bCs/>
          <w:snapToGrid w:val="0"/>
          <w:color w:val="auto"/>
          <w:spacing w:val="40"/>
          <w:kern w:val="0"/>
          <w:sz w:val="32"/>
        </w:rPr>
        <w:t xml:space="preserve">    </w:t>
      </w:r>
      <w:r>
        <w:rPr>
          <w:rFonts w:ascii="宋体" w:hAnsi="宋体" w:eastAsia="宋体"/>
          <w:b/>
          <w:bCs/>
          <w:snapToGrid w:val="0"/>
          <w:color w:val="auto"/>
          <w:spacing w:val="40"/>
          <w:kern w:val="0"/>
          <w:sz w:val="32"/>
          <w:u w:val="single"/>
        </w:rPr>
        <w:t xml:space="preserve">  </w:t>
      </w:r>
      <w:r>
        <w:rPr>
          <w:rFonts w:hint="eastAsia" w:ascii="宋体" w:hAnsi="宋体" w:eastAsia="宋体"/>
          <w:b/>
          <w:bCs/>
          <w:snapToGrid w:val="0"/>
          <w:color w:val="auto"/>
          <w:spacing w:val="40"/>
          <w:kern w:val="0"/>
          <w:sz w:val="32"/>
        </w:rPr>
        <w:t xml:space="preserve">                                 </w:t>
      </w:r>
    </w:p>
    <w:p w14:paraId="17FA636F">
      <w:pPr>
        <w:overflowPunct w:val="0"/>
        <w:topLinePunct/>
        <w:adjustRightInd w:val="0"/>
        <w:snapToGrid w:val="0"/>
        <w:spacing w:line="360" w:lineRule="auto"/>
        <w:ind w:firstLine="531" w:firstLineChars="147"/>
        <w:rPr>
          <w:rFonts w:ascii="宋体" w:hAnsi="宋体" w:eastAsia="宋体"/>
          <w:b/>
          <w:bCs/>
          <w:snapToGrid w:val="0"/>
          <w:color w:val="auto"/>
          <w:spacing w:val="20"/>
          <w:kern w:val="0"/>
          <w:sz w:val="32"/>
        </w:rPr>
      </w:pPr>
      <w:r>
        <w:rPr>
          <w:rFonts w:hint="eastAsia" w:ascii="宋体" w:hAnsi="宋体" w:eastAsia="宋体"/>
          <w:b/>
          <w:bCs/>
          <w:snapToGrid w:val="0"/>
          <w:color w:val="auto"/>
          <w:spacing w:val="20"/>
          <w:kern w:val="0"/>
          <w:sz w:val="32"/>
        </w:rPr>
        <w:t xml:space="preserve">采 </w:t>
      </w:r>
      <w:r>
        <w:rPr>
          <w:rFonts w:ascii="宋体" w:hAnsi="宋体" w:eastAsia="宋体"/>
          <w:b/>
          <w:bCs/>
          <w:snapToGrid w:val="0"/>
          <w:color w:val="auto"/>
          <w:spacing w:val="20"/>
          <w:kern w:val="0"/>
          <w:sz w:val="32"/>
        </w:rPr>
        <w:t xml:space="preserve"> </w:t>
      </w:r>
      <w:r>
        <w:rPr>
          <w:rFonts w:hint="eastAsia" w:ascii="宋体" w:hAnsi="宋体" w:eastAsia="宋体"/>
          <w:b/>
          <w:bCs/>
          <w:snapToGrid w:val="0"/>
          <w:color w:val="auto"/>
          <w:spacing w:val="20"/>
          <w:kern w:val="0"/>
          <w:sz w:val="32"/>
        </w:rPr>
        <w:t xml:space="preserve">矿  </w:t>
      </w:r>
      <w:r>
        <w:rPr>
          <w:rFonts w:ascii="宋体" w:hAnsi="宋体" w:eastAsia="宋体"/>
          <w:b/>
          <w:bCs/>
          <w:snapToGrid w:val="0"/>
          <w:color w:val="auto"/>
          <w:spacing w:val="20"/>
          <w:kern w:val="0"/>
          <w:sz w:val="32"/>
        </w:rPr>
        <w:t>权</w:t>
      </w:r>
      <w:r>
        <w:rPr>
          <w:rFonts w:hint="eastAsia" w:ascii="宋体" w:hAnsi="宋体" w:eastAsia="宋体"/>
          <w:b/>
          <w:bCs/>
          <w:snapToGrid w:val="0"/>
          <w:color w:val="auto"/>
          <w:spacing w:val="20"/>
          <w:kern w:val="0"/>
          <w:sz w:val="32"/>
        </w:rPr>
        <w:t xml:space="preserve">  </w:t>
      </w:r>
      <w:r>
        <w:rPr>
          <w:rFonts w:ascii="宋体" w:hAnsi="宋体" w:eastAsia="宋体"/>
          <w:b/>
          <w:bCs/>
          <w:snapToGrid w:val="0"/>
          <w:color w:val="auto"/>
          <w:spacing w:val="20"/>
          <w:kern w:val="0"/>
          <w:sz w:val="32"/>
        </w:rPr>
        <w:t>人</w:t>
      </w:r>
      <w:r>
        <w:rPr>
          <w:rFonts w:hint="eastAsia" w:ascii="宋体" w:hAnsi="宋体" w:eastAsia="宋体"/>
          <w:b/>
          <w:bCs/>
          <w:snapToGrid w:val="0"/>
          <w:color w:val="auto"/>
          <w:spacing w:val="20"/>
          <w:kern w:val="0"/>
          <w:sz w:val="32"/>
        </w:rPr>
        <w:t xml:space="preserve"> </w:t>
      </w:r>
      <w:r>
        <w:rPr>
          <w:rFonts w:ascii="宋体" w:hAnsi="宋体" w:eastAsia="宋体"/>
          <w:b/>
          <w:bCs/>
          <w:snapToGrid w:val="0"/>
          <w:color w:val="auto"/>
          <w:spacing w:val="20"/>
          <w:kern w:val="0"/>
          <w:sz w:val="32"/>
          <w:u w:val="single"/>
        </w:rPr>
        <w:t xml:space="preserve">                      </w:t>
      </w:r>
      <w:r>
        <w:rPr>
          <w:rFonts w:hint="eastAsia" w:ascii="宋体" w:hAnsi="宋体" w:eastAsia="宋体"/>
          <w:b/>
          <w:bCs/>
          <w:snapToGrid w:val="0"/>
          <w:color w:val="auto"/>
          <w:spacing w:val="20"/>
          <w:kern w:val="0"/>
          <w:sz w:val="32"/>
        </w:rPr>
        <w:t xml:space="preserve">  </w:t>
      </w:r>
    </w:p>
    <w:p w14:paraId="0C87AAE3">
      <w:pPr>
        <w:overflowPunct w:val="0"/>
        <w:topLinePunct/>
        <w:adjustRightInd w:val="0"/>
        <w:snapToGrid w:val="0"/>
        <w:spacing w:line="360" w:lineRule="auto"/>
        <w:ind w:firstLine="472" w:firstLineChars="147"/>
        <w:rPr>
          <w:rFonts w:ascii="宋体" w:hAnsi="宋体" w:eastAsia="宋体"/>
          <w:b/>
          <w:bCs/>
          <w:snapToGrid w:val="0"/>
          <w:color w:val="auto"/>
          <w:kern w:val="0"/>
          <w:sz w:val="32"/>
          <w:u w:val="single"/>
        </w:rPr>
      </w:pPr>
      <w:r>
        <w:rPr>
          <w:rFonts w:hint="eastAsia" w:ascii="宋体" w:hAnsi="宋体" w:eastAsia="宋体"/>
          <w:b/>
          <w:bCs/>
          <w:snapToGrid w:val="0"/>
          <w:color w:val="auto"/>
          <w:kern w:val="0"/>
          <w:sz w:val="32"/>
        </w:rPr>
        <w:t>法定代表人（签字）</w:t>
      </w:r>
      <w:r>
        <w:rPr>
          <w:rFonts w:hint="eastAsia" w:ascii="宋体" w:hAnsi="宋体" w:eastAsia="宋体"/>
          <w:b/>
          <w:bCs/>
          <w:snapToGrid w:val="0"/>
          <w:color w:val="auto"/>
          <w:kern w:val="0"/>
          <w:sz w:val="32"/>
          <w:u w:val="single"/>
        </w:rPr>
        <w:t xml:space="preserve">                            </w:t>
      </w:r>
    </w:p>
    <w:p w14:paraId="2DB6F63C">
      <w:pPr>
        <w:overflowPunct w:val="0"/>
        <w:topLinePunct/>
        <w:adjustRightInd w:val="0"/>
        <w:snapToGrid w:val="0"/>
        <w:spacing w:line="360" w:lineRule="auto"/>
        <w:jc w:val="center"/>
        <w:rPr>
          <w:rFonts w:ascii="宋体" w:hAnsi="宋体" w:eastAsia="宋体"/>
          <w:b/>
          <w:bCs/>
          <w:snapToGrid w:val="0"/>
          <w:color w:val="auto"/>
          <w:kern w:val="0"/>
          <w:sz w:val="32"/>
        </w:rPr>
      </w:pPr>
    </w:p>
    <w:p w14:paraId="22F6D4D6">
      <w:pPr>
        <w:overflowPunct w:val="0"/>
        <w:topLinePunct/>
        <w:adjustRightInd w:val="0"/>
        <w:snapToGrid w:val="0"/>
        <w:spacing w:line="360" w:lineRule="auto"/>
        <w:jc w:val="center"/>
        <w:rPr>
          <w:rFonts w:ascii="宋体" w:hAnsi="宋体" w:eastAsia="宋体"/>
          <w:b/>
          <w:bCs/>
          <w:snapToGrid w:val="0"/>
          <w:color w:val="auto"/>
          <w:kern w:val="0"/>
          <w:sz w:val="32"/>
        </w:rPr>
      </w:pPr>
    </w:p>
    <w:p w14:paraId="5C8665C9">
      <w:pPr>
        <w:overflowPunct w:val="0"/>
        <w:topLinePunct/>
        <w:adjustRightInd w:val="0"/>
        <w:snapToGrid w:val="0"/>
        <w:spacing w:line="360" w:lineRule="auto"/>
        <w:jc w:val="center"/>
        <w:rPr>
          <w:rFonts w:ascii="宋体" w:hAnsi="宋体" w:eastAsia="宋体"/>
          <w:b/>
          <w:bCs/>
          <w:snapToGrid w:val="0"/>
          <w:color w:val="auto"/>
          <w:kern w:val="0"/>
          <w:sz w:val="32"/>
          <w:u w:val="single"/>
        </w:rPr>
      </w:pPr>
      <w:r>
        <w:rPr>
          <w:rFonts w:hint="eastAsia" w:ascii="宋体" w:hAnsi="宋体" w:eastAsia="宋体"/>
          <w:b/>
          <w:bCs/>
          <w:snapToGrid w:val="0"/>
          <w:color w:val="auto"/>
          <w:kern w:val="0"/>
          <w:sz w:val="32"/>
        </w:rPr>
        <w:t xml:space="preserve"> </w:t>
      </w:r>
    </w:p>
    <w:p w14:paraId="7E3CB386">
      <w:pPr>
        <w:overflowPunct w:val="0"/>
        <w:topLinePunct/>
        <w:adjustRightInd w:val="0"/>
        <w:snapToGrid w:val="0"/>
        <w:spacing w:line="360" w:lineRule="auto"/>
        <w:jc w:val="center"/>
        <w:rPr>
          <w:rFonts w:ascii="宋体" w:hAnsi="宋体" w:eastAsia="宋体"/>
          <w:b/>
          <w:bCs/>
          <w:snapToGrid w:val="0"/>
          <w:color w:val="auto"/>
          <w:kern w:val="0"/>
          <w:sz w:val="32"/>
        </w:rPr>
      </w:pPr>
      <w:r>
        <w:rPr>
          <w:rFonts w:hint="eastAsia" w:ascii="宋体" w:hAnsi="宋体" w:eastAsia="宋体"/>
          <w:b/>
          <w:bCs/>
          <w:snapToGrid w:val="0"/>
          <w:color w:val="auto"/>
          <w:kern w:val="0"/>
          <w:sz w:val="32"/>
        </w:rPr>
        <w:t xml:space="preserve"> 年    月    日</w:t>
      </w:r>
    </w:p>
    <w:p w14:paraId="65BEFDDC">
      <w:pPr>
        <w:overflowPunct w:val="0"/>
        <w:topLinePunct/>
        <w:adjustRightInd w:val="0"/>
        <w:snapToGrid w:val="0"/>
        <w:spacing w:before="312" w:beforeLines="100" w:line="600" w:lineRule="exact"/>
        <w:jc w:val="center"/>
        <w:rPr>
          <w:rFonts w:ascii="黑体" w:hAnsi="黑体" w:eastAsia="黑体"/>
          <w:b/>
          <w:snapToGrid w:val="0"/>
          <w:color w:val="auto"/>
          <w:kern w:val="0"/>
          <w:sz w:val="44"/>
          <w:szCs w:val="44"/>
        </w:rPr>
      </w:pPr>
      <w:r>
        <w:rPr>
          <w:rFonts w:hint="eastAsia" w:ascii="黑体" w:hAnsi="黑体" w:eastAsia="黑体"/>
          <w:b/>
          <w:snapToGrid w:val="0"/>
          <w:color w:val="auto"/>
          <w:kern w:val="0"/>
          <w:sz w:val="44"/>
          <w:szCs w:val="44"/>
        </w:rPr>
        <w:t>辽宁省绿色矿山建设规划</w:t>
      </w:r>
    </w:p>
    <w:p w14:paraId="09FF6D4D">
      <w:pPr>
        <w:overflowPunct w:val="0"/>
        <w:topLinePunct/>
        <w:adjustRightInd w:val="0"/>
        <w:snapToGrid w:val="0"/>
        <w:spacing w:line="600" w:lineRule="exact"/>
        <w:jc w:val="center"/>
        <w:rPr>
          <w:rFonts w:ascii="仿宋" w:hAnsi="仿宋" w:eastAsia="仿宋"/>
          <w:snapToGrid w:val="0"/>
          <w:color w:val="auto"/>
          <w:kern w:val="0"/>
          <w:sz w:val="32"/>
          <w:szCs w:val="32"/>
        </w:rPr>
      </w:pPr>
      <w:r>
        <w:rPr>
          <w:rFonts w:hint="eastAsia" w:ascii="仿宋" w:hAnsi="仿宋" w:eastAsia="仿宋"/>
          <w:snapToGrid w:val="0"/>
          <w:color w:val="auto"/>
          <w:kern w:val="0"/>
          <w:sz w:val="32"/>
          <w:szCs w:val="32"/>
        </w:rPr>
        <w:t>（参考提纲）</w:t>
      </w:r>
    </w:p>
    <w:p w14:paraId="79937DC9">
      <w:pPr>
        <w:ind w:firstLine="640" w:firstLineChars="200"/>
        <w:rPr>
          <w:rFonts w:ascii="仿宋" w:hAnsi="仿宋" w:eastAsia="仿宋"/>
          <w:b/>
          <w:color w:val="auto"/>
          <w:sz w:val="32"/>
          <w:szCs w:val="32"/>
        </w:rPr>
      </w:pPr>
      <w:bookmarkStart w:id="16" w:name="_Toc318059836"/>
      <w:r>
        <w:rPr>
          <w:rFonts w:hint="eastAsia" w:ascii="黑体" w:hAnsi="黑体" w:eastAsia="黑体"/>
          <w:color w:val="auto"/>
          <w:sz w:val="32"/>
          <w:szCs w:val="32"/>
        </w:rPr>
        <w:t>前言</w:t>
      </w:r>
      <w:bookmarkEnd w:id="16"/>
      <w:r>
        <w:rPr>
          <w:rFonts w:hint="eastAsia" w:ascii="仿宋" w:hAnsi="仿宋" w:eastAsia="仿宋"/>
          <w:color w:val="auto"/>
          <w:sz w:val="32"/>
          <w:szCs w:val="32"/>
        </w:rPr>
        <w:t>（规划背景、编制依据、规划定位、规划期限等）</w:t>
      </w:r>
    </w:p>
    <w:p w14:paraId="4AB9C7AB">
      <w:pPr>
        <w:ind w:firstLine="640" w:firstLineChars="200"/>
        <w:rPr>
          <w:rFonts w:ascii="仿宋" w:hAnsi="仿宋" w:eastAsia="仿宋"/>
          <w:color w:val="auto"/>
          <w:sz w:val="32"/>
          <w:szCs w:val="32"/>
        </w:rPr>
      </w:pPr>
      <w:r>
        <w:rPr>
          <w:rFonts w:hint="eastAsia" w:ascii="黑体" w:hAnsi="黑体" w:eastAsia="黑体"/>
          <w:color w:val="auto"/>
          <w:sz w:val="32"/>
          <w:szCs w:val="32"/>
        </w:rPr>
        <w:t>第一章  矿山基本情况</w:t>
      </w:r>
    </w:p>
    <w:p w14:paraId="22E3ED58">
      <w:pPr>
        <w:ind w:firstLine="640" w:firstLineChars="200"/>
        <w:rPr>
          <w:rFonts w:ascii="仿宋" w:hAnsi="仿宋" w:eastAsia="仿宋"/>
          <w:color w:val="auto"/>
          <w:sz w:val="32"/>
          <w:szCs w:val="32"/>
        </w:rPr>
      </w:pPr>
      <w:r>
        <w:rPr>
          <w:rFonts w:hint="eastAsia" w:ascii="仿宋" w:hAnsi="仿宋" w:eastAsia="仿宋"/>
          <w:color w:val="auto"/>
          <w:sz w:val="32"/>
          <w:szCs w:val="32"/>
        </w:rPr>
        <w:t>第一节  矿山概况（矿山</w:t>
      </w:r>
      <w:r>
        <w:rPr>
          <w:rFonts w:ascii="仿宋" w:hAnsi="仿宋" w:eastAsia="仿宋"/>
          <w:color w:val="auto"/>
          <w:sz w:val="32"/>
          <w:szCs w:val="32"/>
        </w:rPr>
        <w:t>企业简介、交通位置、</w:t>
      </w:r>
      <w:r>
        <w:rPr>
          <w:rFonts w:hint="eastAsia" w:ascii="仿宋" w:hAnsi="仿宋" w:eastAsia="仿宋"/>
          <w:color w:val="auto"/>
          <w:sz w:val="32"/>
          <w:szCs w:val="32"/>
        </w:rPr>
        <w:t>矿权</w:t>
      </w:r>
      <w:r>
        <w:rPr>
          <w:rFonts w:ascii="仿宋" w:hAnsi="仿宋" w:eastAsia="仿宋"/>
          <w:color w:val="auto"/>
          <w:sz w:val="32"/>
          <w:szCs w:val="32"/>
        </w:rPr>
        <w:t>设置情况</w:t>
      </w:r>
      <w:r>
        <w:rPr>
          <w:rFonts w:hint="eastAsia" w:ascii="仿宋" w:hAnsi="仿宋" w:eastAsia="仿宋"/>
          <w:color w:val="auto"/>
          <w:sz w:val="32"/>
          <w:szCs w:val="32"/>
        </w:rPr>
        <w:t>）</w:t>
      </w:r>
    </w:p>
    <w:p w14:paraId="7D7AFEF6">
      <w:pPr>
        <w:ind w:firstLine="630"/>
        <w:rPr>
          <w:rFonts w:ascii="仿宋" w:hAnsi="仿宋" w:eastAsia="仿宋"/>
          <w:color w:val="auto"/>
          <w:sz w:val="32"/>
          <w:szCs w:val="32"/>
        </w:rPr>
      </w:pPr>
      <w:r>
        <w:rPr>
          <w:rFonts w:hint="eastAsia" w:ascii="仿宋" w:hAnsi="仿宋" w:eastAsia="仿宋"/>
          <w:color w:val="auto"/>
          <w:sz w:val="32"/>
          <w:szCs w:val="32"/>
        </w:rPr>
        <w:t>第二节  矿山开发利用</w:t>
      </w:r>
      <w:r>
        <w:rPr>
          <w:rFonts w:ascii="仿宋" w:hAnsi="仿宋" w:eastAsia="仿宋"/>
          <w:color w:val="auto"/>
          <w:sz w:val="32"/>
          <w:szCs w:val="32"/>
        </w:rPr>
        <w:t>情况</w:t>
      </w:r>
      <w:r>
        <w:rPr>
          <w:rFonts w:hint="eastAsia" w:ascii="仿宋" w:hAnsi="仿宋" w:eastAsia="仿宋"/>
          <w:color w:val="auto"/>
          <w:sz w:val="32"/>
          <w:szCs w:val="32"/>
        </w:rPr>
        <w:t>（开发</w:t>
      </w:r>
      <w:r>
        <w:rPr>
          <w:rFonts w:ascii="仿宋" w:hAnsi="仿宋" w:eastAsia="仿宋"/>
          <w:color w:val="auto"/>
          <w:sz w:val="32"/>
          <w:szCs w:val="32"/>
        </w:rPr>
        <w:t>历史、开发现状、选矿历史及现状</w:t>
      </w:r>
      <w:r>
        <w:rPr>
          <w:rFonts w:hint="eastAsia" w:ascii="仿宋" w:hAnsi="仿宋" w:eastAsia="仿宋"/>
          <w:color w:val="auto"/>
          <w:sz w:val="32"/>
          <w:szCs w:val="32"/>
        </w:rPr>
        <w:t>）</w:t>
      </w:r>
    </w:p>
    <w:p w14:paraId="400FB8FF">
      <w:pPr>
        <w:rPr>
          <w:rFonts w:ascii="仿宋" w:hAnsi="仿宋" w:eastAsia="仿宋"/>
          <w:color w:val="auto"/>
          <w:sz w:val="32"/>
          <w:szCs w:val="32"/>
        </w:rPr>
      </w:pPr>
      <w:r>
        <w:rPr>
          <w:rFonts w:hint="eastAsia" w:ascii="仿宋" w:hAnsi="仿宋" w:eastAsia="仿宋"/>
          <w:color w:val="auto"/>
          <w:sz w:val="32"/>
          <w:szCs w:val="32"/>
        </w:rPr>
        <w:t xml:space="preserve">    第三节</w:t>
      </w:r>
      <w:r>
        <w:rPr>
          <w:rFonts w:ascii="仿宋" w:hAnsi="仿宋" w:eastAsia="仿宋"/>
          <w:color w:val="auto"/>
          <w:sz w:val="32"/>
          <w:szCs w:val="32"/>
        </w:rPr>
        <w:t xml:space="preserve"> </w:t>
      </w:r>
      <w:r>
        <w:rPr>
          <w:rFonts w:hint="eastAsia" w:ascii="仿宋" w:hAnsi="仿宋" w:eastAsia="仿宋"/>
          <w:color w:val="auto"/>
          <w:sz w:val="32"/>
          <w:szCs w:val="32"/>
        </w:rPr>
        <w:t>矿山生产</w:t>
      </w:r>
      <w:r>
        <w:rPr>
          <w:rFonts w:ascii="仿宋" w:hAnsi="仿宋" w:eastAsia="仿宋"/>
          <w:color w:val="auto"/>
          <w:sz w:val="32"/>
          <w:szCs w:val="32"/>
        </w:rPr>
        <w:t>经营状况</w:t>
      </w:r>
    </w:p>
    <w:p w14:paraId="12749ACF">
      <w:pPr>
        <w:ind w:firstLine="640" w:firstLineChars="200"/>
        <w:rPr>
          <w:rFonts w:ascii="黑体" w:hAnsi="黑体" w:eastAsia="黑体"/>
          <w:color w:val="auto"/>
          <w:sz w:val="32"/>
          <w:szCs w:val="32"/>
        </w:rPr>
      </w:pPr>
      <w:bookmarkStart w:id="17" w:name="_Toc318059838"/>
      <w:r>
        <w:rPr>
          <w:rFonts w:hint="eastAsia" w:ascii="黑体" w:hAnsi="黑体" w:eastAsia="黑体"/>
          <w:color w:val="auto"/>
          <w:sz w:val="32"/>
          <w:szCs w:val="32"/>
        </w:rPr>
        <w:t xml:space="preserve">第二章  </w:t>
      </w:r>
      <w:bookmarkEnd w:id="17"/>
      <w:r>
        <w:rPr>
          <w:rFonts w:hint="eastAsia" w:ascii="黑体" w:hAnsi="黑体" w:eastAsia="黑体"/>
          <w:color w:val="auto"/>
          <w:sz w:val="32"/>
          <w:szCs w:val="32"/>
        </w:rPr>
        <w:t>绿色矿山建设</w:t>
      </w:r>
      <w:r>
        <w:rPr>
          <w:rFonts w:ascii="黑体" w:hAnsi="黑体" w:eastAsia="黑体"/>
          <w:color w:val="auto"/>
          <w:sz w:val="32"/>
          <w:szCs w:val="32"/>
        </w:rPr>
        <w:t>目标</w:t>
      </w:r>
    </w:p>
    <w:p w14:paraId="6DE350A2">
      <w:pPr>
        <w:rPr>
          <w:rFonts w:ascii="仿宋" w:hAnsi="仿宋" w:eastAsia="仿宋"/>
          <w:color w:val="auto"/>
          <w:sz w:val="32"/>
          <w:szCs w:val="32"/>
        </w:rPr>
      </w:pPr>
      <w:r>
        <w:rPr>
          <w:rFonts w:hint="eastAsia" w:ascii="黑体" w:hAnsi="黑体" w:eastAsia="黑体"/>
          <w:color w:val="auto"/>
          <w:sz w:val="32"/>
          <w:szCs w:val="32"/>
        </w:rPr>
        <w:t xml:space="preserve">    </w:t>
      </w:r>
      <w:bookmarkStart w:id="18" w:name="_Toc318059840"/>
      <w:r>
        <w:rPr>
          <w:rFonts w:hint="eastAsia" w:ascii="仿宋" w:hAnsi="仿宋" w:eastAsia="仿宋"/>
          <w:color w:val="auto"/>
          <w:sz w:val="32"/>
          <w:szCs w:val="32"/>
        </w:rPr>
        <w:t>包括长期目标和阶段性目标，矿山</w:t>
      </w:r>
      <w:r>
        <w:rPr>
          <w:rFonts w:ascii="仿宋" w:hAnsi="仿宋" w:eastAsia="仿宋"/>
          <w:color w:val="auto"/>
          <w:sz w:val="32"/>
          <w:szCs w:val="32"/>
        </w:rPr>
        <w:t>企业可根据</w:t>
      </w:r>
      <w:r>
        <w:rPr>
          <w:rFonts w:hint="eastAsia" w:ascii="仿宋" w:hAnsi="仿宋" w:eastAsia="仿宋"/>
          <w:color w:val="auto"/>
          <w:sz w:val="32"/>
          <w:szCs w:val="32"/>
        </w:rPr>
        <w:t>自身矿山</w:t>
      </w:r>
      <w:r>
        <w:rPr>
          <w:rFonts w:ascii="仿宋" w:hAnsi="仿宋" w:eastAsia="仿宋"/>
          <w:color w:val="auto"/>
          <w:sz w:val="32"/>
          <w:szCs w:val="32"/>
        </w:rPr>
        <w:t>生产经营情况，</w:t>
      </w:r>
      <w:r>
        <w:rPr>
          <w:rFonts w:hint="eastAsia" w:ascii="仿宋" w:hAnsi="仿宋" w:eastAsia="仿宋"/>
          <w:color w:val="auto"/>
          <w:sz w:val="32"/>
          <w:szCs w:val="32"/>
        </w:rPr>
        <w:t>合理</w:t>
      </w:r>
      <w:r>
        <w:rPr>
          <w:rFonts w:ascii="仿宋" w:hAnsi="仿宋" w:eastAsia="仿宋"/>
          <w:color w:val="auto"/>
          <w:sz w:val="32"/>
          <w:szCs w:val="32"/>
        </w:rPr>
        <w:t>确定建设目标。</w:t>
      </w:r>
    </w:p>
    <w:p w14:paraId="5CD30DAB">
      <w:pPr>
        <w:ind w:firstLine="640" w:firstLineChars="200"/>
        <w:rPr>
          <w:rFonts w:ascii="黑体" w:hAnsi="黑体" w:eastAsia="黑体"/>
          <w:color w:val="auto"/>
          <w:sz w:val="32"/>
          <w:szCs w:val="32"/>
        </w:rPr>
      </w:pPr>
      <w:r>
        <w:rPr>
          <w:rFonts w:hint="eastAsia" w:ascii="黑体" w:hAnsi="黑体" w:eastAsia="黑体"/>
          <w:color w:val="auto"/>
          <w:sz w:val="32"/>
          <w:szCs w:val="32"/>
        </w:rPr>
        <w:t>第三章  主要任务</w:t>
      </w:r>
      <w:bookmarkEnd w:id="18"/>
    </w:p>
    <w:p w14:paraId="32316512">
      <w:pPr>
        <w:ind w:firstLine="640" w:firstLineChars="200"/>
        <w:rPr>
          <w:rFonts w:ascii="仿宋" w:hAnsi="仿宋" w:eastAsia="仿宋"/>
          <w:color w:val="auto"/>
          <w:sz w:val="32"/>
          <w:szCs w:val="32"/>
        </w:rPr>
      </w:pPr>
      <w:r>
        <w:rPr>
          <w:rFonts w:hint="eastAsia" w:ascii="仿宋" w:hAnsi="仿宋" w:eastAsia="仿宋"/>
          <w:color w:val="auto"/>
          <w:sz w:val="32"/>
          <w:szCs w:val="32"/>
        </w:rPr>
        <w:t>第一节  矿产资源合理开发（矿山开发合理布局）</w:t>
      </w:r>
    </w:p>
    <w:p w14:paraId="42BBB98B">
      <w:pPr>
        <w:pStyle w:val="26"/>
        <w:spacing w:line="240" w:lineRule="auto"/>
        <w:ind w:firstLine="640" w:firstLineChars="200"/>
        <w:rPr>
          <w:rFonts w:ascii="仿宋" w:hAnsi="仿宋" w:eastAsia="仿宋"/>
          <w:b w:val="0"/>
          <w:color w:val="auto"/>
          <w:sz w:val="32"/>
          <w:szCs w:val="32"/>
        </w:rPr>
      </w:pPr>
      <w:r>
        <w:rPr>
          <w:rFonts w:hint="eastAsia" w:ascii="仿宋" w:hAnsi="仿宋" w:eastAsia="仿宋"/>
          <w:b w:val="0"/>
          <w:color w:val="auto"/>
          <w:sz w:val="32"/>
          <w:szCs w:val="32"/>
        </w:rPr>
        <w:t>第二节  矿山环境保护与综合治理（土地复垦与生态恢复、矿山环境灾害应急预警机制等）</w:t>
      </w:r>
    </w:p>
    <w:p w14:paraId="30C1C49D">
      <w:pPr>
        <w:ind w:firstLine="630"/>
        <w:rPr>
          <w:rFonts w:ascii="仿宋" w:hAnsi="仿宋" w:eastAsia="仿宋"/>
          <w:color w:val="auto"/>
          <w:sz w:val="32"/>
          <w:szCs w:val="32"/>
        </w:rPr>
      </w:pPr>
      <w:r>
        <w:rPr>
          <w:rFonts w:hint="eastAsia" w:ascii="仿宋" w:hAnsi="仿宋" w:eastAsia="仿宋"/>
          <w:color w:val="auto"/>
          <w:sz w:val="32"/>
          <w:szCs w:val="32"/>
        </w:rPr>
        <w:t>第三节  综合</w:t>
      </w:r>
      <w:r>
        <w:rPr>
          <w:rFonts w:ascii="仿宋" w:hAnsi="仿宋" w:eastAsia="仿宋"/>
          <w:color w:val="auto"/>
          <w:sz w:val="32"/>
          <w:szCs w:val="32"/>
        </w:rPr>
        <w:t>利用和</w:t>
      </w:r>
      <w:r>
        <w:rPr>
          <w:rFonts w:hint="eastAsia" w:ascii="仿宋" w:hAnsi="仿宋" w:eastAsia="仿宋"/>
          <w:color w:val="auto"/>
          <w:sz w:val="32"/>
          <w:szCs w:val="32"/>
        </w:rPr>
        <w:t>节能减排（资源节约与综合利用等、工艺设备节能、废弃物减排等）</w:t>
      </w:r>
    </w:p>
    <w:p w14:paraId="0882E861">
      <w:pPr>
        <w:ind w:firstLine="630"/>
        <w:rPr>
          <w:rFonts w:ascii="仿宋" w:hAnsi="仿宋" w:eastAsia="仿宋"/>
          <w:color w:val="auto"/>
          <w:sz w:val="32"/>
          <w:szCs w:val="32"/>
        </w:rPr>
      </w:pPr>
      <w:r>
        <w:rPr>
          <w:rFonts w:hint="eastAsia" w:ascii="仿宋" w:hAnsi="仿宋" w:eastAsia="仿宋"/>
          <w:color w:val="auto"/>
          <w:sz w:val="32"/>
          <w:szCs w:val="32"/>
        </w:rPr>
        <w:t>第四节  科技创新和</w:t>
      </w:r>
      <w:r>
        <w:rPr>
          <w:rFonts w:ascii="仿宋" w:hAnsi="仿宋" w:eastAsia="仿宋"/>
          <w:color w:val="auto"/>
          <w:sz w:val="32"/>
          <w:szCs w:val="32"/>
        </w:rPr>
        <w:t>数字化矿山</w:t>
      </w:r>
    </w:p>
    <w:p w14:paraId="58B1C37B">
      <w:pPr>
        <w:ind w:firstLine="640" w:firstLineChars="200"/>
        <w:rPr>
          <w:rFonts w:ascii="仿宋" w:hAnsi="仿宋" w:eastAsia="仿宋"/>
          <w:color w:val="auto"/>
          <w:sz w:val="32"/>
          <w:szCs w:val="32"/>
        </w:rPr>
      </w:pPr>
      <w:r>
        <w:rPr>
          <w:rFonts w:hint="eastAsia" w:ascii="仿宋" w:hAnsi="仿宋" w:eastAsia="仿宋"/>
          <w:color w:val="auto"/>
          <w:sz w:val="32"/>
          <w:szCs w:val="32"/>
        </w:rPr>
        <w:t>第五节  企业</w:t>
      </w:r>
      <w:r>
        <w:rPr>
          <w:rFonts w:ascii="仿宋" w:hAnsi="仿宋" w:eastAsia="仿宋"/>
          <w:color w:val="auto"/>
          <w:sz w:val="32"/>
          <w:szCs w:val="32"/>
        </w:rPr>
        <w:t>管理和企业形象（</w:t>
      </w:r>
      <w:r>
        <w:rPr>
          <w:rFonts w:hint="eastAsia" w:ascii="仿宋" w:hAnsi="仿宋" w:eastAsia="仿宋"/>
          <w:color w:val="auto"/>
          <w:sz w:val="32"/>
          <w:szCs w:val="32"/>
        </w:rPr>
        <w:t>企业文化、</w:t>
      </w:r>
      <w:r>
        <w:rPr>
          <w:rFonts w:ascii="仿宋" w:hAnsi="仿宋" w:eastAsia="仿宋"/>
          <w:color w:val="auto"/>
          <w:sz w:val="32"/>
          <w:szCs w:val="32"/>
        </w:rPr>
        <w:t>企业管理、企业</w:t>
      </w:r>
      <w:r>
        <w:rPr>
          <w:rFonts w:hint="eastAsia" w:ascii="仿宋" w:hAnsi="仿宋" w:eastAsia="仿宋"/>
          <w:color w:val="auto"/>
          <w:sz w:val="32"/>
          <w:szCs w:val="32"/>
        </w:rPr>
        <w:t>诚信</w:t>
      </w:r>
      <w:r>
        <w:rPr>
          <w:rFonts w:ascii="仿宋" w:hAnsi="仿宋" w:eastAsia="仿宋"/>
          <w:color w:val="auto"/>
          <w:sz w:val="32"/>
          <w:szCs w:val="32"/>
        </w:rPr>
        <w:t>及矿地和谐等）</w:t>
      </w:r>
    </w:p>
    <w:p w14:paraId="121B1511">
      <w:pPr>
        <w:ind w:firstLine="640" w:firstLineChars="200"/>
        <w:rPr>
          <w:rFonts w:ascii="楷体_GB2312" w:hAnsi="黑体" w:eastAsia="楷体_GB2312"/>
          <w:color w:val="auto"/>
          <w:sz w:val="32"/>
          <w:szCs w:val="32"/>
        </w:rPr>
      </w:pPr>
      <w:bookmarkStart w:id="19" w:name="_Toc318059841"/>
      <w:r>
        <w:rPr>
          <w:rFonts w:hint="eastAsia" w:ascii="黑体" w:hAnsi="黑体" w:eastAsia="黑体"/>
          <w:color w:val="auto"/>
          <w:sz w:val="32"/>
          <w:szCs w:val="32"/>
        </w:rPr>
        <w:t>第四章  重点工程</w:t>
      </w:r>
      <w:bookmarkEnd w:id="19"/>
      <w:r>
        <w:rPr>
          <w:rFonts w:hint="eastAsia" w:ascii="仿宋" w:hAnsi="仿宋" w:eastAsia="仿宋"/>
          <w:color w:val="auto"/>
          <w:sz w:val="32"/>
          <w:szCs w:val="32"/>
        </w:rPr>
        <w:t>（项目名称、项目内容、实施年限、负责部门和预期效益等）</w:t>
      </w:r>
    </w:p>
    <w:p w14:paraId="5D601020">
      <w:pPr>
        <w:ind w:firstLine="640" w:firstLineChars="200"/>
        <w:rPr>
          <w:rFonts w:ascii="仿宋" w:hAnsi="仿宋" w:eastAsia="仿宋"/>
          <w:color w:val="auto"/>
          <w:sz w:val="32"/>
          <w:szCs w:val="32"/>
        </w:rPr>
      </w:pPr>
      <w:r>
        <w:rPr>
          <w:rFonts w:hint="eastAsia" w:ascii="仿宋" w:hAnsi="仿宋" w:eastAsia="仿宋"/>
          <w:color w:val="auto"/>
          <w:sz w:val="32"/>
          <w:szCs w:val="32"/>
        </w:rPr>
        <w:t>第一节  环境治理</w:t>
      </w:r>
    </w:p>
    <w:p w14:paraId="14432173">
      <w:pPr>
        <w:ind w:firstLine="640" w:firstLineChars="200"/>
        <w:rPr>
          <w:rFonts w:ascii="仿宋" w:hAnsi="仿宋" w:eastAsia="仿宋"/>
          <w:color w:val="auto"/>
          <w:sz w:val="32"/>
          <w:szCs w:val="32"/>
        </w:rPr>
      </w:pPr>
      <w:r>
        <w:rPr>
          <w:rFonts w:hint="eastAsia" w:ascii="仿宋" w:hAnsi="仿宋" w:eastAsia="仿宋"/>
          <w:color w:val="auto"/>
          <w:sz w:val="32"/>
          <w:szCs w:val="32"/>
        </w:rPr>
        <w:t>第二节  资源综合利用和节能</w:t>
      </w:r>
      <w:r>
        <w:rPr>
          <w:rFonts w:ascii="仿宋" w:hAnsi="仿宋" w:eastAsia="仿宋"/>
          <w:color w:val="auto"/>
          <w:sz w:val="32"/>
          <w:szCs w:val="32"/>
        </w:rPr>
        <w:t>减排</w:t>
      </w:r>
    </w:p>
    <w:p w14:paraId="7605F67C">
      <w:pPr>
        <w:ind w:firstLine="640" w:firstLineChars="200"/>
        <w:rPr>
          <w:rFonts w:ascii="仿宋" w:hAnsi="仿宋" w:eastAsia="仿宋"/>
          <w:color w:val="auto"/>
          <w:sz w:val="32"/>
          <w:szCs w:val="32"/>
        </w:rPr>
      </w:pPr>
      <w:r>
        <w:rPr>
          <w:rFonts w:hint="eastAsia" w:ascii="仿宋" w:hAnsi="仿宋" w:eastAsia="仿宋"/>
          <w:color w:val="auto"/>
          <w:sz w:val="32"/>
          <w:szCs w:val="32"/>
        </w:rPr>
        <w:t>第三节  科技攻关</w:t>
      </w:r>
    </w:p>
    <w:p w14:paraId="479914A7">
      <w:pPr>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第四节  </w:t>
      </w:r>
      <w:bookmarkStart w:id="20" w:name="_Toc318059842"/>
      <w:r>
        <w:rPr>
          <w:rFonts w:hint="eastAsia" w:ascii="仿宋" w:hAnsi="仿宋" w:eastAsia="仿宋"/>
          <w:color w:val="auto"/>
          <w:sz w:val="32"/>
          <w:szCs w:val="32"/>
        </w:rPr>
        <w:t>企业管理</w:t>
      </w:r>
    </w:p>
    <w:p w14:paraId="7A80400D">
      <w:pPr>
        <w:ind w:firstLine="640" w:firstLineChars="200"/>
        <w:rPr>
          <w:rFonts w:ascii="楷体_GB2312" w:hAnsi="黑体" w:eastAsia="楷体_GB2312"/>
          <w:color w:val="auto"/>
          <w:sz w:val="32"/>
          <w:szCs w:val="32"/>
        </w:rPr>
      </w:pPr>
      <w:r>
        <w:rPr>
          <w:rFonts w:hint="eastAsia" w:ascii="黑体" w:hAnsi="黑体" w:eastAsia="黑体"/>
          <w:color w:val="auto"/>
          <w:sz w:val="32"/>
          <w:szCs w:val="32"/>
        </w:rPr>
        <w:t>第五章  保障措施</w:t>
      </w:r>
      <w:bookmarkEnd w:id="20"/>
    </w:p>
    <w:p w14:paraId="02AA46C4">
      <w:pPr>
        <w:ind w:firstLine="640" w:firstLineChars="200"/>
        <w:rPr>
          <w:rFonts w:ascii="仿宋" w:hAnsi="仿宋" w:eastAsia="仿宋"/>
          <w:color w:val="auto"/>
          <w:sz w:val="32"/>
          <w:szCs w:val="32"/>
        </w:rPr>
      </w:pPr>
      <w:bookmarkStart w:id="21" w:name="_Toc181293228"/>
      <w:bookmarkStart w:id="22" w:name="_Toc234079996"/>
      <w:bookmarkStart w:id="23" w:name="_Toc173473054"/>
      <w:bookmarkStart w:id="24" w:name="_Toc182818143"/>
      <w:bookmarkStart w:id="25" w:name="_Toc181290726"/>
      <w:r>
        <w:rPr>
          <w:rFonts w:hint="eastAsia" w:ascii="仿宋" w:hAnsi="仿宋" w:eastAsia="仿宋"/>
          <w:color w:val="auto"/>
          <w:sz w:val="32"/>
          <w:szCs w:val="32"/>
        </w:rPr>
        <w:t>第一节  组织保障</w:t>
      </w:r>
    </w:p>
    <w:p w14:paraId="771DE762">
      <w:pPr>
        <w:ind w:firstLine="640" w:firstLineChars="200"/>
        <w:rPr>
          <w:rFonts w:ascii="仿宋" w:hAnsi="仿宋" w:eastAsia="仿宋"/>
          <w:color w:val="auto"/>
          <w:sz w:val="32"/>
          <w:szCs w:val="32"/>
        </w:rPr>
      </w:pPr>
      <w:r>
        <w:rPr>
          <w:rFonts w:hint="eastAsia" w:ascii="仿宋" w:hAnsi="仿宋" w:eastAsia="仿宋"/>
          <w:color w:val="auto"/>
          <w:sz w:val="32"/>
          <w:szCs w:val="32"/>
        </w:rPr>
        <w:t>第二节  资金保障</w:t>
      </w:r>
    </w:p>
    <w:p w14:paraId="474DE61A">
      <w:pPr>
        <w:ind w:firstLine="640" w:firstLineChars="200"/>
        <w:rPr>
          <w:rFonts w:ascii="仿宋" w:hAnsi="仿宋" w:eastAsia="仿宋"/>
          <w:color w:val="auto"/>
          <w:sz w:val="32"/>
          <w:szCs w:val="32"/>
        </w:rPr>
      </w:pPr>
      <w:r>
        <w:rPr>
          <w:rFonts w:hint="eastAsia" w:ascii="仿宋" w:hAnsi="仿宋" w:eastAsia="仿宋"/>
          <w:color w:val="auto"/>
          <w:sz w:val="32"/>
          <w:szCs w:val="32"/>
        </w:rPr>
        <w:t>第三节  制度保障</w:t>
      </w:r>
    </w:p>
    <w:p w14:paraId="0DAAF680">
      <w:pPr>
        <w:ind w:firstLine="640" w:firstLineChars="200"/>
        <w:rPr>
          <w:rFonts w:ascii="仿宋" w:hAnsi="仿宋" w:eastAsia="仿宋"/>
          <w:color w:val="auto"/>
          <w:sz w:val="32"/>
          <w:szCs w:val="32"/>
        </w:rPr>
      </w:pPr>
      <w:r>
        <w:rPr>
          <w:rFonts w:hint="eastAsia" w:ascii="仿宋" w:hAnsi="仿宋" w:eastAsia="仿宋"/>
          <w:color w:val="auto"/>
          <w:sz w:val="32"/>
          <w:szCs w:val="32"/>
        </w:rPr>
        <w:t>第四节  监督管理</w:t>
      </w:r>
      <w:bookmarkEnd w:id="21"/>
      <w:bookmarkEnd w:id="22"/>
      <w:bookmarkEnd w:id="23"/>
      <w:bookmarkEnd w:id="24"/>
      <w:bookmarkEnd w:id="25"/>
    </w:p>
    <w:p w14:paraId="20A8937B">
      <w:pPr>
        <w:ind w:firstLine="640" w:firstLineChars="200"/>
        <w:rPr>
          <w:rFonts w:ascii="仿宋" w:hAnsi="仿宋" w:eastAsia="仿宋"/>
          <w:color w:val="auto"/>
          <w:sz w:val="32"/>
          <w:szCs w:val="32"/>
        </w:rPr>
      </w:pPr>
      <w:r>
        <w:rPr>
          <w:rFonts w:hint="eastAsia" w:ascii="仿宋" w:hAnsi="仿宋" w:eastAsia="仿宋"/>
          <w:color w:val="auto"/>
          <w:sz w:val="32"/>
          <w:szCs w:val="32"/>
        </w:rPr>
        <w:t>备注：原则上</w:t>
      </w:r>
      <w:r>
        <w:rPr>
          <w:rFonts w:ascii="仿宋" w:hAnsi="仿宋" w:eastAsia="仿宋"/>
          <w:color w:val="auto"/>
          <w:sz w:val="32"/>
          <w:szCs w:val="32"/>
        </w:rPr>
        <w:t>需要提供</w:t>
      </w:r>
      <w:r>
        <w:rPr>
          <w:rFonts w:hint="eastAsia" w:ascii="仿宋" w:hAnsi="仿宋" w:eastAsia="仿宋"/>
          <w:color w:val="auto"/>
          <w:sz w:val="32"/>
          <w:szCs w:val="32"/>
        </w:rPr>
        <w:t>规划说明、附图、附表和基础资料</w:t>
      </w:r>
      <w:r>
        <w:rPr>
          <w:rFonts w:ascii="仿宋" w:hAnsi="仿宋" w:eastAsia="仿宋"/>
          <w:color w:val="auto"/>
          <w:sz w:val="32"/>
          <w:szCs w:val="32"/>
        </w:rPr>
        <w:t>汇编</w:t>
      </w:r>
      <w:r>
        <w:rPr>
          <w:rFonts w:hint="eastAsia" w:ascii="仿宋" w:hAnsi="仿宋" w:eastAsia="仿宋"/>
          <w:color w:val="auto"/>
          <w:sz w:val="32"/>
          <w:szCs w:val="32"/>
        </w:rPr>
        <w:t>。其中，规划说明需阐述规划编制过程；其它需要说明的问题等。</w:t>
      </w:r>
    </w:p>
    <w:p w14:paraId="038ACF41">
      <w:pPr>
        <w:rPr>
          <w:color w:val="auto"/>
        </w:rPr>
      </w:pPr>
    </w:p>
    <w:p w14:paraId="66B2A2EC">
      <w:pPr>
        <w:pStyle w:val="11"/>
        <w:widowControl/>
        <w:adjustRightInd w:val="0"/>
        <w:snapToGrid w:val="0"/>
        <w:spacing w:before="0" w:beforeAutospacing="0" w:after="0" w:afterAutospacing="0" w:line="360" w:lineRule="auto"/>
        <w:ind w:firstLine="1500" w:firstLineChars="500"/>
        <w:jc w:val="both"/>
        <w:rPr>
          <w:rFonts w:ascii="仿宋" w:hAnsi="仿宋" w:eastAsia="仿宋" w:cs="宋体"/>
          <w:color w:val="auto"/>
          <w:sz w:val="30"/>
          <w:szCs w:val="30"/>
        </w:rPr>
      </w:pPr>
      <w:r>
        <w:rPr>
          <w:rFonts w:ascii="仿宋" w:hAnsi="仿宋" w:eastAsia="仿宋" w:cs="宋体"/>
          <w:color w:val="auto"/>
          <w:sz w:val="30"/>
          <w:szCs w:val="30"/>
        </w:rPr>
        <w:br w:type="page"/>
      </w:r>
    </w:p>
    <w:p w14:paraId="65D98A56">
      <w:pPr>
        <w:adjustRightInd w:val="0"/>
        <w:snapToGrid w:val="0"/>
        <w:spacing w:line="560" w:lineRule="exact"/>
        <w:rPr>
          <w:rFonts w:ascii="Times New Roman" w:hAnsi="Times New Roman" w:eastAsia="黑体"/>
          <w:color w:val="auto"/>
          <w:sz w:val="32"/>
        </w:rPr>
      </w:pPr>
      <w:r>
        <w:rPr>
          <w:rFonts w:hint="eastAsia" w:ascii="Times New Roman" w:hAnsi="Times New Roman" w:eastAsia="黑体"/>
          <w:color w:val="auto"/>
          <w:sz w:val="32"/>
        </w:rPr>
        <w:t>附件2</w:t>
      </w:r>
      <w:r>
        <w:rPr>
          <w:rFonts w:ascii="Times New Roman" w:hAnsi="Times New Roman" w:eastAsia="黑体"/>
          <w:color w:val="auto"/>
          <w:sz w:val="32"/>
        </w:rPr>
        <w:t>-</w:t>
      </w:r>
      <w:r>
        <w:rPr>
          <w:rFonts w:hint="eastAsia" w:ascii="Times New Roman" w:hAnsi="Times New Roman" w:eastAsia="黑体"/>
          <w:color w:val="auto"/>
          <w:sz w:val="32"/>
        </w:rPr>
        <w:t>2</w:t>
      </w:r>
    </w:p>
    <w:p w14:paraId="018D386D">
      <w:pPr>
        <w:overflowPunct w:val="0"/>
        <w:topLinePunct/>
        <w:adjustRightInd w:val="0"/>
        <w:snapToGrid w:val="0"/>
        <w:spacing w:line="360" w:lineRule="auto"/>
        <w:rPr>
          <w:rFonts w:ascii="宋体" w:hAnsi="宋体" w:eastAsia="宋体"/>
          <w:b/>
          <w:bCs/>
          <w:snapToGrid w:val="0"/>
          <w:color w:val="auto"/>
          <w:kern w:val="0"/>
          <w:sz w:val="32"/>
          <w:u w:val="single"/>
        </w:rPr>
      </w:pPr>
    </w:p>
    <w:p w14:paraId="0C5F3D28">
      <w:pPr>
        <w:overflowPunct w:val="0"/>
        <w:topLinePunct/>
        <w:adjustRightInd w:val="0"/>
        <w:snapToGrid w:val="0"/>
        <w:spacing w:line="360" w:lineRule="auto"/>
        <w:jc w:val="left"/>
        <w:rPr>
          <w:rFonts w:ascii="宋体" w:hAnsi="宋体" w:eastAsia="宋体"/>
          <w:b/>
          <w:snapToGrid w:val="0"/>
          <w:color w:val="auto"/>
          <w:kern w:val="0"/>
          <w:sz w:val="30"/>
          <w:szCs w:val="30"/>
        </w:rPr>
      </w:pPr>
    </w:p>
    <w:p w14:paraId="397CC885">
      <w:pPr>
        <w:overflowPunct w:val="0"/>
        <w:topLinePunct/>
        <w:adjustRightInd w:val="0"/>
        <w:snapToGrid w:val="0"/>
        <w:spacing w:line="360" w:lineRule="auto"/>
        <w:jc w:val="center"/>
        <w:rPr>
          <w:rFonts w:ascii="宋体" w:hAnsi="宋体" w:eastAsia="宋体"/>
          <w:b/>
          <w:snapToGrid w:val="0"/>
          <w:color w:val="auto"/>
          <w:kern w:val="0"/>
          <w:sz w:val="52"/>
        </w:rPr>
      </w:pPr>
    </w:p>
    <w:p w14:paraId="4E74CD74">
      <w:pPr>
        <w:overflowPunct w:val="0"/>
        <w:topLinePunct/>
        <w:adjustRightInd w:val="0"/>
        <w:snapToGrid w:val="0"/>
        <w:spacing w:line="360" w:lineRule="auto"/>
        <w:jc w:val="center"/>
        <w:rPr>
          <w:rFonts w:ascii="宋体" w:hAnsi="宋体" w:eastAsia="宋体"/>
          <w:b/>
          <w:snapToGrid w:val="0"/>
          <w:color w:val="auto"/>
          <w:kern w:val="0"/>
          <w:sz w:val="52"/>
        </w:rPr>
      </w:pPr>
      <w:r>
        <w:rPr>
          <w:rFonts w:hint="eastAsia" w:ascii="宋体" w:hAnsi="宋体" w:eastAsia="宋体"/>
          <w:b/>
          <w:snapToGrid w:val="0"/>
          <w:color w:val="auto"/>
          <w:kern w:val="0"/>
          <w:sz w:val="52"/>
        </w:rPr>
        <w:t>辽宁省绿色矿山建设</w:t>
      </w:r>
    </w:p>
    <w:p w14:paraId="607DDBC5">
      <w:pPr>
        <w:overflowPunct w:val="0"/>
        <w:topLinePunct/>
        <w:adjustRightInd w:val="0"/>
        <w:snapToGrid w:val="0"/>
        <w:spacing w:line="360" w:lineRule="auto"/>
        <w:jc w:val="center"/>
        <w:rPr>
          <w:rFonts w:ascii="宋体" w:hAnsi="宋体" w:eastAsia="宋体"/>
          <w:b/>
          <w:snapToGrid w:val="0"/>
          <w:color w:val="auto"/>
          <w:kern w:val="0"/>
          <w:sz w:val="72"/>
          <w:szCs w:val="72"/>
        </w:rPr>
      </w:pPr>
      <w:r>
        <w:rPr>
          <w:rFonts w:hint="eastAsia" w:ascii="宋体" w:hAnsi="宋体" w:eastAsia="宋体"/>
          <w:b/>
          <w:snapToGrid w:val="0"/>
          <w:color w:val="auto"/>
          <w:kern w:val="0"/>
          <w:sz w:val="72"/>
          <w:szCs w:val="72"/>
        </w:rPr>
        <w:t>申报表</w:t>
      </w:r>
    </w:p>
    <w:p w14:paraId="0EA6A37D">
      <w:pPr>
        <w:overflowPunct w:val="0"/>
        <w:topLinePunct/>
        <w:adjustRightInd w:val="0"/>
        <w:snapToGrid w:val="0"/>
        <w:spacing w:line="360" w:lineRule="auto"/>
        <w:jc w:val="center"/>
        <w:rPr>
          <w:rFonts w:ascii="宋体" w:hAnsi="宋体" w:eastAsia="宋体"/>
          <w:b/>
          <w:bCs/>
          <w:snapToGrid w:val="0"/>
          <w:color w:val="auto"/>
          <w:kern w:val="0"/>
          <w:sz w:val="44"/>
        </w:rPr>
      </w:pPr>
    </w:p>
    <w:p w14:paraId="347C0C48">
      <w:pPr>
        <w:overflowPunct w:val="0"/>
        <w:topLinePunct/>
        <w:adjustRightInd w:val="0"/>
        <w:snapToGrid w:val="0"/>
        <w:spacing w:line="360" w:lineRule="auto"/>
        <w:jc w:val="center"/>
        <w:rPr>
          <w:rFonts w:ascii="宋体" w:hAnsi="宋体" w:eastAsia="宋体"/>
          <w:b/>
          <w:bCs/>
          <w:snapToGrid w:val="0"/>
          <w:color w:val="auto"/>
          <w:kern w:val="0"/>
          <w:sz w:val="44"/>
        </w:rPr>
      </w:pPr>
    </w:p>
    <w:p w14:paraId="7A5775FF">
      <w:pPr>
        <w:overflowPunct w:val="0"/>
        <w:topLinePunct/>
        <w:adjustRightInd w:val="0"/>
        <w:snapToGrid w:val="0"/>
        <w:spacing w:line="360" w:lineRule="auto"/>
        <w:jc w:val="center"/>
        <w:rPr>
          <w:rFonts w:ascii="宋体" w:hAnsi="宋体" w:eastAsia="宋体"/>
          <w:b/>
          <w:bCs/>
          <w:snapToGrid w:val="0"/>
          <w:color w:val="auto"/>
          <w:kern w:val="0"/>
          <w:sz w:val="44"/>
        </w:rPr>
      </w:pPr>
    </w:p>
    <w:p w14:paraId="1AC77E24">
      <w:pPr>
        <w:overflowPunct w:val="0"/>
        <w:topLinePunct/>
        <w:adjustRightInd w:val="0"/>
        <w:snapToGrid w:val="0"/>
        <w:spacing w:line="360" w:lineRule="auto"/>
        <w:ind w:firstLine="633" w:firstLineChars="197"/>
        <w:rPr>
          <w:rFonts w:ascii="宋体" w:hAnsi="宋体" w:eastAsia="宋体"/>
          <w:b/>
          <w:bCs/>
          <w:snapToGrid w:val="0"/>
          <w:color w:val="auto"/>
          <w:kern w:val="0"/>
          <w:sz w:val="32"/>
        </w:rPr>
      </w:pPr>
    </w:p>
    <w:p w14:paraId="0327A0C7">
      <w:pPr>
        <w:overflowPunct w:val="0"/>
        <w:topLinePunct/>
        <w:adjustRightInd w:val="0"/>
        <w:snapToGrid w:val="0"/>
        <w:spacing w:line="360" w:lineRule="auto"/>
        <w:ind w:firstLine="633" w:firstLineChars="197"/>
        <w:rPr>
          <w:rFonts w:ascii="宋体" w:hAnsi="宋体" w:eastAsia="宋体"/>
          <w:b/>
          <w:bCs/>
          <w:snapToGrid w:val="0"/>
          <w:color w:val="auto"/>
          <w:kern w:val="0"/>
          <w:sz w:val="32"/>
          <w:u w:val="single"/>
        </w:rPr>
      </w:pPr>
      <w:r>
        <w:rPr>
          <w:rFonts w:hint="eastAsia" w:ascii="宋体" w:hAnsi="宋体" w:eastAsia="宋体"/>
          <w:b/>
          <w:bCs/>
          <w:snapToGrid w:val="0"/>
          <w:color w:val="auto"/>
          <w:kern w:val="0"/>
          <w:sz w:val="32"/>
        </w:rPr>
        <w:t xml:space="preserve">矿山名称（盖章）  </w:t>
      </w:r>
      <w:r>
        <w:rPr>
          <w:rFonts w:hint="eastAsia" w:ascii="宋体" w:hAnsi="宋体" w:eastAsia="宋体"/>
          <w:b/>
          <w:bCs/>
          <w:snapToGrid w:val="0"/>
          <w:color w:val="auto"/>
          <w:kern w:val="0"/>
          <w:sz w:val="32"/>
          <w:u w:val="single"/>
        </w:rPr>
        <w:t xml:space="preserve">                        </w:t>
      </w:r>
      <w:r>
        <w:rPr>
          <w:rFonts w:ascii="宋体" w:hAnsi="宋体" w:eastAsia="宋体"/>
          <w:b/>
          <w:bCs/>
          <w:snapToGrid w:val="0"/>
          <w:color w:val="auto"/>
          <w:kern w:val="0"/>
          <w:sz w:val="32"/>
          <w:u w:val="single"/>
        </w:rPr>
        <w:t xml:space="preserve">   </w:t>
      </w:r>
      <w:r>
        <w:rPr>
          <w:rFonts w:ascii="宋体" w:hAnsi="宋体" w:eastAsia="宋体"/>
          <w:b/>
          <w:bCs/>
          <w:snapToGrid w:val="0"/>
          <w:color w:val="auto"/>
          <w:kern w:val="0"/>
          <w:sz w:val="32"/>
        </w:rPr>
        <w:t xml:space="preserve"> </w:t>
      </w:r>
    </w:p>
    <w:p w14:paraId="5600A3FC">
      <w:pPr>
        <w:overflowPunct w:val="0"/>
        <w:topLinePunct/>
        <w:adjustRightInd w:val="0"/>
        <w:snapToGrid w:val="0"/>
        <w:spacing w:line="360" w:lineRule="auto"/>
        <w:ind w:firstLine="590" w:firstLineChars="147"/>
        <w:rPr>
          <w:rFonts w:ascii="宋体" w:hAnsi="宋体" w:eastAsia="宋体"/>
          <w:b/>
          <w:bCs/>
          <w:snapToGrid w:val="0"/>
          <w:color w:val="auto"/>
          <w:spacing w:val="40"/>
          <w:kern w:val="0"/>
          <w:sz w:val="32"/>
        </w:rPr>
      </w:pPr>
      <w:r>
        <w:rPr>
          <w:rFonts w:hint="eastAsia" w:ascii="宋体" w:hAnsi="宋体" w:eastAsia="宋体"/>
          <w:b/>
          <w:bCs/>
          <w:snapToGrid w:val="0"/>
          <w:color w:val="auto"/>
          <w:spacing w:val="40"/>
          <w:kern w:val="0"/>
          <w:sz w:val="32"/>
        </w:rPr>
        <w:t>采矿许可证</w:t>
      </w:r>
      <w:r>
        <w:rPr>
          <w:rFonts w:ascii="宋体" w:hAnsi="宋体" w:eastAsia="宋体"/>
          <w:b/>
          <w:bCs/>
          <w:snapToGrid w:val="0"/>
          <w:color w:val="auto"/>
          <w:spacing w:val="40"/>
          <w:kern w:val="0"/>
          <w:sz w:val="32"/>
        </w:rPr>
        <w:t>号</w:t>
      </w:r>
      <w:r>
        <w:rPr>
          <w:rFonts w:hint="eastAsia" w:ascii="宋体" w:hAnsi="宋体" w:eastAsia="宋体"/>
          <w:b/>
          <w:bCs/>
          <w:snapToGrid w:val="0"/>
          <w:color w:val="auto"/>
          <w:spacing w:val="40"/>
          <w:kern w:val="0"/>
          <w:sz w:val="32"/>
        </w:rPr>
        <w:t xml:space="preserve"> </w:t>
      </w:r>
      <w:r>
        <w:rPr>
          <w:rFonts w:ascii="宋体" w:hAnsi="宋体" w:eastAsia="宋体"/>
          <w:b/>
          <w:bCs/>
          <w:snapToGrid w:val="0"/>
          <w:color w:val="auto"/>
          <w:spacing w:val="40"/>
          <w:kern w:val="0"/>
          <w:sz w:val="32"/>
        </w:rPr>
        <w:t xml:space="preserve"> </w:t>
      </w:r>
      <w:r>
        <w:rPr>
          <w:rFonts w:ascii="宋体" w:hAnsi="宋体" w:eastAsia="宋体"/>
          <w:b/>
          <w:bCs/>
          <w:snapToGrid w:val="0"/>
          <w:color w:val="auto"/>
          <w:spacing w:val="40"/>
          <w:kern w:val="0"/>
          <w:sz w:val="32"/>
          <w:u w:val="single"/>
        </w:rPr>
        <w:t xml:space="preserve">                  </w:t>
      </w:r>
      <w:r>
        <w:rPr>
          <w:rFonts w:ascii="宋体" w:hAnsi="宋体" w:eastAsia="宋体"/>
          <w:b/>
          <w:bCs/>
          <w:snapToGrid w:val="0"/>
          <w:color w:val="auto"/>
          <w:spacing w:val="40"/>
          <w:kern w:val="0"/>
          <w:sz w:val="32"/>
        </w:rPr>
        <w:t xml:space="preserve">    </w:t>
      </w:r>
      <w:r>
        <w:rPr>
          <w:rFonts w:ascii="宋体" w:hAnsi="宋体" w:eastAsia="宋体"/>
          <w:b/>
          <w:bCs/>
          <w:snapToGrid w:val="0"/>
          <w:color w:val="auto"/>
          <w:spacing w:val="40"/>
          <w:kern w:val="0"/>
          <w:sz w:val="32"/>
          <w:u w:val="single"/>
        </w:rPr>
        <w:t xml:space="preserve">  </w:t>
      </w:r>
      <w:r>
        <w:rPr>
          <w:rFonts w:hint="eastAsia" w:ascii="宋体" w:hAnsi="宋体" w:eastAsia="宋体"/>
          <w:b/>
          <w:bCs/>
          <w:snapToGrid w:val="0"/>
          <w:color w:val="auto"/>
          <w:spacing w:val="40"/>
          <w:kern w:val="0"/>
          <w:sz w:val="32"/>
        </w:rPr>
        <w:t xml:space="preserve">                                 </w:t>
      </w:r>
    </w:p>
    <w:p w14:paraId="36611702">
      <w:pPr>
        <w:overflowPunct w:val="0"/>
        <w:topLinePunct/>
        <w:adjustRightInd w:val="0"/>
        <w:snapToGrid w:val="0"/>
        <w:spacing w:line="360" w:lineRule="auto"/>
        <w:ind w:firstLine="531" w:firstLineChars="147"/>
        <w:rPr>
          <w:rFonts w:ascii="宋体" w:hAnsi="宋体" w:eastAsia="宋体"/>
          <w:b/>
          <w:bCs/>
          <w:snapToGrid w:val="0"/>
          <w:color w:val="auto"/>
          <w:spacing w:val="20"/>
          <w:kern w:val="0"/>
          <w:sz w:val="32"/>
        </w:rPr>
      </w:pPr>
      <w:r>
        <w:rPr>
          <w:rFonts w:hint="eastAsia" w:ascii="宋体" w:hAnsi="宋体" w:eastAsia="宋体"/>
          <w:b/>
          <w:bCs/>
          <w:snapToGrid w:val="0"/>
          <w:color w:val="auto"/>
          <w:spacing w:val="20"/>
          <w:kern w:val="0"/>
          <w:sz w:val="32"/>
        </w:rPr>
        <w:t xml:space="preserve">采 </w:t>
      </w:r>
      <w:r>
        <w:rPr>
          <w:rFonts w:ascii="宋体" w:hAnsi="宋体" w:eastAsia="宋体"/>
          <w:b/>
          <w:bCs/>
          <w:snapToGrid w:val="0"/>
          <w:color w:val="auto"/>
          <w:spacing w:val="20"/>
          <w:kern w:val="0"/>
          <w:sz w:val="32"/>
        </w:rPr>
        <w:t xml:space="preserve"> </w:t>
      </w:r>
      <w:r>
        <w:rPr>
          <w:rFonts w:hint="eastAsia" w:ascii="宋体" w:hAnsi="宋体" w:eastAsia="宋体"/>
          <w:b/>
          <w:bCs/>
          <w:snapToGrid w:val="0"/>
          <w:color w:val="auto"/>
          <w:spacing w:val="20"/>
          <w:kern w:val="0"/>
          <w:sz w:val="32"/>
        </w:rPr>
        <w:t xml:space="preserve">矿  </w:t>
      </w:r>
      <w:r>
        <w:rPr>
          <w:rFonts w:ascii="宋体" w:hAnsi="宋体" w:eastAsia="宋体"/>
          <w:b/>
          <w:bCs/>
          <w:snapToGrid w:val="0"/>
          <w:color w:val="auto"/>
          <w:spacing w:val="20"/>
          <w:kern w:val="0"/>
          <w:sz w:val="32"/>
        </w:rPr>
        <w:t>权</w:t>
      </w:r>
      <w:r>
        <w:rPr>
          <w:rFonts w:hint="eastAsia" w:ascii="宋体" w:hAnsi="宋体" w:eastAsia="宋体"/>
          <w:b/>
          <w:bCs/>
          <w:snapToGrid w:val="0"/>
          <w:color w:val="auto"/>
          <w:spacing w:val="20"/>
          <w:kern w:val="0"/>
          <w:sz w:val="32"/>
        </w:rPr>
        <w:t xml:space="preserve">  </w:t>
      </w:r>
      <w:r>
        <w:rPr>
          <w:rFonts w:ascii="宋体" w:hAnsi="宋体" w:eastAsia="宋体"/>
          <w:b/>
          <w:bCs/>
          <w:snapToGrid w:val="0"/>
          <w:color w:val="auto"/>
          <w:spacing w:val="20"/>
          <w:kern w:val="0"/>
          <w:sz w:val="32"/>
        </w:rPr>
        <w:t>人</w:t>
      </w:r>
      <w:r>
        <w:rPr>
          <w:rFonts w:hint="eastAsia" w:ascii="宋体" w:hAnsi="宋体" w:eastAsia="宋体"/>
          <w:b/>
          <w:bCs/>
          <w:snapToGrid w:val="0"/>
          <w:color w:val="auto"/>
          <w:spacing w:val="20"/>
          <w:kern w:val="0"/>
          <w:sz w:val="32"/>
        </w:rPr>
        <w:t xml:space="preserve"> </w:t>
      </w:r>
      <w:r>
        <w:rPr>
          <w:rFonts w:ascii="宋体" w:hAnsi="宋体" w:eastAsia="宋体"/>
          <w:b/>
          <w:bCs/>
          <w:snapToGrid w:val="0"/>
          <w:color w:val="auto"/>
          <w:spacing w:val="20"/>
          <w:kern w:val="0"/>
          <w:sz w:val="32"/>
          <w:u w:val="single"/>
        </w:rPr>
        <w:t xml:space="preserve">                      </w:t>
      </w:r>
      <w:r>
        <w:rPr>
          <w:rFonts w:hint="eastAsia" w:ascii="宋体" w:hAnsi="宋体" w:eastAsia="宋体"/>
          <w:b/>
          <w:bCs/>
          <w:snapToGrid w:val="0"/>
          <w:color w:val="auto"/>
          <w:spacing w:val="20"/>
          <w:kern w:val="0"/>
          <w:sz w:val="32"/>
        </w:rPr>
        <w:t xml:space="preserve">  </w:t>
      </w:r>
    </w:p>
    <w:p w14:paraId="3A6C115C">
      <w:pPr>
        <w:overflowPunct w:val="0"/>
        <w:topLinePunct/>
        <w:adjustRightInd w:val="0"/>
        <w:snapToGrid w:val="0"/>
        <w:spacing w:line="360" w:lineRule="auto"/>
        <w:ind w:firstLine="472" w:firstLineChars="147"/>
        <w:rPr>
          <w:rFonts w:ascii="宋体" w:hAnsi="宋体" w:eastAsia="宋体"/>
          <w:b/>
          <w:bCs/>
          <w:snapToGrid w:val="0"/>
          <w:color w:val="auto"/>
          <w:kern w:val="0"/>
          <w:sz w:val="32"/>
          <w:u w:val="single"/>
        </w:rPr>
      </w:pPr>
      <w:r>
        <w:rPr>
          <w:rFonts w:hint="eastAsia" w:ascii="宋体" w:hAnsi="宋体" w:eastAsia="宋体"/>
          <w:b/>
          <w:bCs/>
          <w:snapToGrid w:val="0"/>
          <w:color w:val="auto"/>
          <w:kern w:val="0"/>
          <w:sz w:val="32"/>
        </w:rPr>
        <w:t>法定代表人（签字）</w:t>
      </w:r>
      <w:r>
        <w:rPr>
          <w:rFonts w:hint="eastAsia" w:ascii="宋体" w:hAnsi="宋体" w:eastAsia="宋体"/>
          <w:b/>
          <w:bCs/>
          <w:snapToGrid w:val="0"/>
          <w:color w:val="auto"/>
          <w:kern w:val="0"/>
          <w:sz w:val="32"/>
          <w:u w:val="single"/>
        </w:rPr>
        <w:t xml:space="preserve">                            </w:t>
      </w:r>
    </w:p>
    <w:p w14:paraId="74B0BA6F">
      <w:pPr>
        <w:overflowPunct w:val="0"/>
        <w:topLinePunct/>
        <w:adjustRightInd w:val="0"/>
        <w:snapToGrid w:val="0"/>
        <w:spacing w:line="360" w:lineRule="auto"/>
        <w:jc w:val="center"/>
        <w:rPr>
          <w:rFonts w:ascii="宋体" w:hAnsi="宋体" w:eastAsia="宋体"/>
          <w:b/>
          <w:bCs/>
          <w:snapToGrid w:val="0"/>
          <w:color w:val="auto"/>
          <w:kern w:val="0"/>
          <w:sz w:val="32"/>
        </w:rPr>
      </w:pPr>
    </w:p>
    <w:p w14:paraId="1F297946">
      <w:pPr>
        <w:overflowPunct w:val="0"/>
        <w:topLinePunct/>
        <w:adjustRightInd w:val="0"/>
        <w:snapToGrid w:val="0"/>
        <w:spacing w:line="360" w:lineRule="auto"/>
        <w:jc w:val="center"/>
        <w:rPr>
          <w:rFonts w:ascii="宋体" w:hAnsi="宋体" w:eastAsia="宋体"/>
          <w:b/>
          <w:bCs/>
          <w:snapToGrid w:val="0"/>
          <w:color w:val="auto"/>
          <w:kern w:val="0"/>
          <w:sz w:val="32"/>
          <w:u w:val="single"/>
        </w:rPr>
      </w:pPr>
      <w:r>
        <w:rPr>
          <w:rFonts w:hint="eastAsia" w:ascii="宋体" w:hAnsi="宋体" w:eastAsia="宋体"/>
          <w:b/>
          <w:bCs/>
          <w:snapToGrid w:val="0"/>
          <w:color w:val="auto"/>
          <w:kern w:val="0"/>
          <w:sz w:val="32"/>
        </w:rPr>
        <w:t xml:space="preserve"> </w:t>
      </w:r>
    </w:p>
    <w:p w14:paraId="1A69E34F">
      <w:pPr>
        <w:overflowPunct w:val="0"/>
        <w:topLinePunct/>
        <w:adjustRightInd w:val="0"/>
        <w:snapToGrid w:val="0"/>
        <w:spacing w:line="360" w:lineRule="auto"/>
        <w:jc w:val="center"/>
        <w:rPr>
          <w:rFonts w:ascii="宋体" w:hAnsi="宋体" w:eastAsia="宋体"/>
          <w:b/>
          <w:bCs/>
          <w:snapToGrid w:val="0"/>
          <w:color w:val="auto"/>
          <w:kern w:val="0"/>
          <w:sz w:val="32"/>
        </w:rPr>
      </w:pPr>
      <w:r>
        <w:rPr>
          <w:rFonts w:hint="eastAsia" w:ascii="宋体" w:hAnsi="宋体" w:eastAsia="宋体"/>
          <w:b/>
          <w:bCs/>
          <w:snapToGrid w:val="0"/>
          <w:color w:val="auto"/>
          <w:kern w:val="0"/>
          <w:sz w:val="32"/>
        </w:rPr>
        <w:t xml:space="preserve"> 年    月    日</w:t>
      </w:r>
    </w:p>
    <w:p w14:paraId="160CF64F">
      <w:pPr>
        <w:overflowPunct w:val="0"/>
        <w:topLinePunct/>
        <w:adjustRightInd w:val="0"/>
        <w:snapToGrid w:val="0"/>
        <w:spacing w:line="360" w:lineRule="auto"/>
        <w:rPr>
          <w:rFonts w:ascii="黑体" w:hAnsi="黑体" w:eastAsia="黑体"/>
          <w:snapToGrid w:val="0"/>
          <w:color w:val="auto"/>
          <w:kern w:val="0"/>
          <w:sz w:val="32"/>
          <w:szCs w:val="32"/>
        </w:rPr>
      </w:pPr>
      <w:r>
        <w:rPr>
          <w:rFonts w:hint="eastAsia" w:ascii="黑体" w:hAnsi="黑体" w:eastAsia="黑体"/>
          <w:snapToGrid w:val="0"/>
          <w:color w:val="auto"/>
          <w:kern w:val="0"/>
          <w:sz w:val="32"/>
          <w:szCs w:val="32"/>
        </w:rPr>
        <w:t>一、基本信息</w:t>
      </w:r>
    </w:p>
    <w:tbl>
      <w:tblPr>
        <w:tblStyle w:val="13"/>
        <w:tblW w:w="5000" w:type="pct"/>
        <w:jc w:val="center"/>
        <w:tblLayout w:type="autofit"/>
        <w:tblCellMar>
          <w:top w:w="0" w:type="dxa"/>
          <w:left w:w="0" w:type="dxa"/>
          <w:bottom w:w="0" w:type="dxa"/>
          <w:right w:w="0" w:type="dxa"/>
        </w:tblCellMar>
      </w:tblPr>
      <w:tblGrid>
        <w:gridCol w:w="2271"/>
        <w:gridCol w:w="1884"/>
        <w:gridCol w:w="2079"/>
        <w:gridCol w:w="2096"/>
      </w:tblGrid>
      <w:tr w14:paraId="1378C45E">
        <w:tblPrEx>
          <w:tblCellMar>
            <w:top w:w="0" w:type="dxa"/>
            <w:left w:w="0" w:type="dxa"/>
            <w:bottom w:w="0" w:type="dxa"/>
            <w:right w:w="0" w:type="dxa"/>
          </w:tblCellMar>
        </w:tblPrEx>
        <w:trPr>
          <w:trHeight w:val="625" w:hRule="atLeast"/>
          <w:jc w:val="center"/>
        </w:trPr>
        <w:tc>
          <w:tcPr>
            <w:tcW w:w="13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8F0672">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矿山名称</w:t>
            </w:r>
          </w:p>
        </w:tc>
        <w:tc>
          <w:tcPr>
            <w:tcW w:w="3637"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4C7DE0">
            <w:pPr>
              <w:jc w:val="center"/>
              <w:rPr>
                <w:rFonts w:ascii="仿宋" w:hAnsi="仿宋" w:eastAsia="仿宋" w:cs="宋体"/>
                <w:color w:val="auto"/>
                <w:sz w:val="24"/>
              </w:rPr>
            </w:pPr>
          </w:p>
        </w:tc>
      </w:tr>
      <w:tr w14:paraId="3FA9671F">
        <w:tblPrEx>
          <w:tblCellMar>
            <w:top w:w="0" w:type="dxa"/>
            <w:left w:w="0" w:type="dxa"/>
            <w:bottom w:w="0" w:type="dxa"/>
            <w:right w:w="0" w:type="dxa"/>
          </w:tblCellMar>
        </w:tblPrEx>
        <w:trPr>
          <w:trHeight w:val="625" w:hRule="atLeast"/>
          <w:jc w:val="center"/>
        </w:trPr>
        <w:tc>
          <w:tcPr>
            <w:tcW w:w="13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514609">
            <w:pPr>
              <w:jc w:val="center"/>
              <w:textAlignment w:val="center"/>
              <w:rPr>
                <w:rFonts w:ascii="仿宋" w:hAnsi="仿宋" w:eastAsia="仿宋" w:cs="宋体"/>
                <w:color w:val="auto"/>
                <w:kern w:val="0"/>
                <w:sz w:val="24"/>
                <w:lang w:bidi="ar"/>
              </w:rPr>
            </w:pPr>
            <w:r>
              <w:rPr>
                <w:rFonts w:hint="eastAsia" w:ascii="仿宋" w:hAnsi="仿宋" w:eastAsia="仿宋" w:cs="宋体"/>
                <w:color w:val="auto"/>
                <w:kern w:val="0"/>
                <w:sz w:val="24"/>
                <w:lang w:bidi="ar"/>
              </w:rPr>
              <w:t>采矿权人</w:t>
            </w:r>
          </w:p>
        </w:tc>
        <w:tc>
          <w:tcPr>
            <w:tcW w:w="3637"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8EF88D">
            <w:pPr>
              <w:jc w:val="center"/>
              <w:rPr>
                <w:rFonts w:ascii="仿宋" w:hAnsi="仿宋" w:eastAsia="仿宋" w:cs="宋体"/>
                <w:color w:val="auto"/>
                <w:sz w:val="24"/>
              </w:rPr>
            </w:pPr>
          </w:p>
        </w:tc>
      </w:tr>
      <w:tr w14:paraId="7D75B723">
        <w:tblPrEx>
          <w:tblCellMar>
            <w:top w:w="0" w:type="dxa"/>
            <w:left w:w="0" w:type="dxa"/>
            <w:bottom w:w="0" w:type="dxa"/>
            <w:right w:w="0" w:type="dxa"/>
          </w:tblCellMar>
        </w:tblPrEx>
        <w:trPr>
          <w:trHeight w:val="549" w:hRule="atLeast"/>
          <w:jc w:val="center"/>
        </w:trPr>
        <w:tc>
          <w:tcPr>
            <w:tcW w:w="13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DE21F1">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采矿许可证号</w:t>
            </w:r>
          </w:p>
        </w:tc>
        <w:tc>
          <w:tcPr>
            <w:tcW w:w="1131"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23941848">
            <w:pPr>
              <w:jc w:val="center"/>
              <w:rPr>
                <w:rFonts w:ascii="仿宋" w:hAnsi="仿宋" w:eastAsia="仿宋" w:cs="宋体"/>
                <w:color w:val="auto"/>
                <w:sz w:val="24"/>
              </w:rPr>
            </w:pPr>
          </w:p>
        </w:tc>
        <w:tc>
          <w:tcPr>
            <w:tcW w:w="1248"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73B78474">
            <w:pPr>
              <w:jc w:val="center"/>
              <w:textAlignment w:val="center"/>
              <w:rPr>
                <w:rFonts w:ascii="仿宋" w:hAnsi="仿宋" w:eastAsia="仿宋"/>
                <w:color w:val="auto"/>
                <w:sz w:val="24"/>
              </w:rPr>
            </w:pPr>
            <w:r>
              <w:rPr>
                <w:rFonts w:ascii="仿宋" w:hAnsi="仿宋" w:eastAsia="仿宋"/>
                <w:color w:val="auto"/>
                <w:sz w:val="24"/>
              </w:rPr>
              <w:t>所属行业</w:t>
            </w:r>
          </w:p>
        </w:tc>
        <w:tc>
          <w:tcPr>
            <w:tcW w:w="125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0262D1">
            <w:pPr>
              <w:jc w:val="center"/>
              <w:rPr>
                <w:rFonts w:ascii="仿宋" w:hAnsi="仿宋" w:eastAsia="仿宋"/>
                <w:color w:val="auto"/>
                <w:sz w:val="24"/>
              </w:rPr>
            </w:pPr>
          </w:p>
        </w:tc>
      </w:tr>
      <w:tr w14:paraId="241D6106">
        <w:tblPrEx>
          <w:tblCellMar>
            <w:top w:w="0" w:type="dxa"/>
            <w:left w:w="0" w:type="dxa"/>
            <w:bottom w:w="0" w:type="dxa"/>
            <w:right w:w="0" w:type="dxa"/>
          </w:tblCellMar>
        </w:tblPrEx>
        <w:trPr>
          <w:trHeight w:val="542" w:hRule="atLeast"/>
          <w:jc w:val="center"/>
        </w:trPr>
        <w:tc>
          <w:tcPr>
            <w:tcW w:w="13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634437">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统一社会信用代码</w:t>
            </w:r>
          </w:p>
        </w:tc>
        <w:tc>
          <w:tcPr>
            <w:tcW w:w="1131" w:type="pct"/>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43E1132B">
            <w:pPr>
              <w:jc w:val="center"/>
              <w:rPr>
                <w:rFonts w:ascii="仿宋" w:hAnsi="仿宋" w:eastAsia="仿宋" w:cs="宋体"/>
                <w:color w:val="auto"/>
                <w:sz w:val="24"/>
              </w:rPr>
            </w:pPr>
          </w:p>
        </w:tc>
        <w:tc>
          <w:tcPr>
            <w:tcW w:w="1248" w:type="pct"/>
            <w:tcBorders>
              <w:top w:val="single" w:color="000000" w:sz="4" w:space="0"/>
              <w:left w:val="single" w:color="auto" w:sz="4" w:space="0"/>
              <w:bottom w:val="single" w:color="000000" w:sz="4" w:space="0"/>
              <w:right w:val="single" w:color="auto" w:sz="4" w:space="0"/>
            </w:tcBorders>
            <w:vAlign w:val="center"/>
          </w:tcPr>
          <w:p w14:paraId="5D064ABD">
            <w:pPr>
              <w:jc w:val="center"/>
              <w:rPr>
                <w:rFonts w:ascii="仿宋" w:hAnsi="仿宋" w:eastAsia="仿宋" w:cs="宋体"/>
                <w:color w:val="auto"/>
                <w:sz w:val="24"/>
              </w:rPr>
            </w:pPr>
            <w:r>
              <w:rPr>
                <w:rFonts w:hint="eastAsia" w:ascii="仿宋" w:hAnsi="仿宋" w:eastAsia="仿宋" w:cs="宋体"/>
                <w:color w:val="auto"/>
                <w:kern w:val="0"/>
                <w:sz w:val="24"/>
                <w:lang w:bidi="ar"/>
              </w:rPr>
              <w:t>矿山地址</w:t>
            </w:r>
          </w:p>
        </w:tc>
        <w:tc>
          <w:tcPr>
            <w:tcW w:w="1258" w:type="pct"/>
            <w:tcBorders>
              <w:top w:val="single" w:color="000000" w:sz="4" w:space="0"/>
              <w:left w:val="single" w:color="auto" w:sz="4" w:space="0"/>
              <w:bottom w:val="single" w:color="000000" w:sz="4" w:space="0"/>
              <w:right w:val="single" w:color="000000" w:sz="4" w:space="0"/>
            </w:tcBorders>
            <w:vAlign w:val="center"/>
          </w:tcPr>
          <w:p w14:paraId="3E4962A5">
            <w:pPr>
              <w:jc w:val="center"/>
              <w:rPr>
                <w:rFonts w:ascii="仿宋" w:hAnsi="仿宋" w:eastAsia="仿宋" w:cs="宋体"/>
                <w:color w:val="auto"/>
                <w:sz w:val="24"/>
              </w:rPr>
            </w:pPr>
          </w:p>
        </w:tc>
      </w:tr>
      <w:tr w14:paraId="53D409A4">
        <w:tblPrEx>
          <w:tblCellMar>
            <w:top w:w="0" w:type="dxa"/>
            <w:left w:w="0" w:type="dxa"/>
            <w:bottom w:w="0" w:type="dxa"/>
            <w:right w:w="0" w:type="dxa"/>
          </w:tblCellMar>
        </w:tblPrEx>
        <w:trPr>
          <w:trHeight w:val="550" w:hRule="atLeast"/>
          <w:jc w:val="center"/>
        </w:trPr>
        <w:tc>
          <w:tcPr>
            <w:tcW w:w="13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FE8EAD">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经济类型</w:t>
            </w:r>
          </w:p>
        </w:tc>
        <w:tc>
          <w:tcPr>
            <w:tcW w:w="113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1DE50D">
            <w:pPr>
              <w:jc w:val="center"/>
              <w:rPr>
                <w:rFonts w:ascii="仿宋" w:hAnsi="仿宋" w:eastAsia="仿宋" w:cs="宋体"/>
                <w:color w:val="auto"/>
                <w:sz w:val="24"/>
              </w:rPr>
            </w:pPr>
          </w:p>
        </w:tc>
        <w:tc>
          <w:tcPr>
            <w:tcW w:w="124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C7F58A">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从业人数</w:t>
            </w:r>
          </w:p>
        </w:tc>
        <w:tc>
          <w:tcPr>
            <w:tcW w:w="125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9250D0">
            <w:pPr>
              <w:jc w:val="center"/>
              <w:rPr>
                <w:rFonts w:ascii="仿宋" w:hAnsi="仿宋" w:eastAsia="仿宋" w:cs="宋体"/>
                <w:color w:val="auto"/>
                <w:sz w:val="24"/>
              </w:rPr>
            </w:pPr>
          </w:p>
        </w:tc>
      </w:tr>
      <w:tr w14:paraId="6B3C0EBA">
        <w:tblPrEx>
          <w:tblCellMar>
            <w:top w:w="0" w:type="dxa"/>
            <w:left w:w="0" w:type="dxa"/>
            <w:bottom w:w="0" w:type="dxa"/>
            <w:right w:w="0" w:type="dxa"/>
          </w:tblCellMar>
        </w:tblPrEx>
        <w:trPr>
          <w:trHeight w:val="544" w:hRule="atLeast"/>
          <w:jc w:val="center"/>
        </w:trPr>
        <w:tc>
          <w:tcPr>
            <w:tcW w:w="13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A4B554">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开采矿种</w:t>
            </w:r>
          </w:p>
        </w:tc>
        <w:tc>
          <w:tcPr>
            <w:tcW w:w="113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F95F07">
            <w:pPr>
              <w:jc w:val="center"/>
              <w:rPr>
                <w:rFonts w:ascii="仿宋" w:hAnsi="仿宋" w:eastAsia="仿宋" w:cs="宋体"/>
                <w:color w:val="auto"/>
                <w:sz w:val="24"/>
              </w:rPr>
            </w:pPr>
          </w:p>
        </w:tc>
        <w:tc>
          <w:tcPr>
            <w:tcW w:w="124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B23F50">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开采方式</w:t>
            </w:r>
          </w:p>
        </w:tc>
        <w:tc>
          <w:tcPr>
            <w:tcW w:w="125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9E4B1B">
            <w:pPr>
              <w:jc w:val="center"/>
              <w:rPr>
                <w:rFonts w:ascii="仿宋" w:hAnsi="仿宋" w:eastAsia="仿宋" w:cs="宋体"/>
                <w:color w:val="auto"/>
                <w:sz w:val="24"/>
              </w:rPr>
            </w:pPr>
          </w:p>
        </w:tc>
      </w:tr>
      <w:tr w14:paraId="5C31DD35">
        <w:tblPrEx>
          <w:tblCellMar>
            <w:top w:w="0" w:type="dxa"/>
            <w:left w:w="0" w:type="dxa"/>
            <w:bottom w:w="0" w:type="dxa"/>
            <w:right w:w="0" w:type="dxa"/>
          </w:tblCellMar>
        </w:tblPrEx>
        <w:trPr>
          <w:trHeight w:val="538" w:hRule="atLeast"/>
          <w:jc w:val="center"/>
        </w:trPr>
        <w:tc>
          <w:tcPr>
            <w:tcW w:w="13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3D9D4F">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矿山规模</w:t>
            </w:r>
          </w:p>
        </w:tc>
        <w:tc>
          <w:tcPr>
            <w:tcW w:w="113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DF5BEC">
            <w:pPr>
              <w:jc w:val="center"/>
              <w:rPr>
                <w:rFonts w:ascii="仿宋" w:hAnsi="仿宋" w:eastAsia="仿宋" w:cs="宋体"/>
                <w:color w:val="auto"/>
                <w:sz w:val="24"/>
              </w:rPr>
            </w:pPr>
          </w:p>
        </w:tc>
        <w:tc>
          <w:tcPr>
            <w:tcW w:w="124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36CCF6">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生产规模</w:t>
            </w:r>
          </w:p>
        </w:tc>
        <w:tc>
          <w:tcPr>
            <w:tcW w:w="125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1DC90B">
            <w:pPr>
              <w:jc w:val="center"/>
              <w:rPr>
                <w:rFonts w:ascii="仿宋" w:hAnsi="仿宋" w:eastAsia="仿宋" w:cs="宋体"/>
                <w:color w:val="auto"/>
                <w:sz w:val="24"/>
              </w:rPr>
            </w:pPr>
          </w:p>
        </w:tc>
      </w:tr>
      <w:tr w14:paraId="24D36656">
        <w:tblPrEx>
          <w:tblCellMar>
            <w:top w:w="0" w:type="dxa"/>
            <w:left w:w="0" w:type="dxa"/>
            <w:bottom w:w="0" w:type="dxa"/>
            <w:right w:w="0" w:type="dxa"/>
          </w:tblCellMar>
        </w:tblPrEx>
        <w:trPr>
          <w:trHeight w:val="546" w:hRule="atLeast"/>
          <w:jc w:val="center"/>
        </w:trPr>
        <w:tc>
          <w:tcPr>
            <w:tcW w:w="13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4E54D6">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发证机关</w:t>
            </w:r>
          </w:p>
        </w:tc>
        <w:tc>
          <w:tcPr>
            <w:tcW w:w="113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00E2AC">
            <w:pPr>
              <w:jc w:val="center"/>
              <w:rPr>
                <w:rFonts w:ascii="仿宋" w:hAnsi="仿宋" w:eastAsia="仿宋" w:cs="宋体"/>
                <w:color w:val="auto"/>
                <w:sz w:val="24"/>
              </w:rPr>
            </w:pPr>
          </w:p>
        </w:tc>
        <w:tc>
          <w:tcPr>
            <w:tcW w:w="124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584348">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矿区面积</w:t>
            </w:r>
          </w:p>
        </w:tc>
        <w:tc>
          <w:tcPr>
            <w:tcW w:w="125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3D0605">
            <w:pPr>
              <w:jc w:val="center"/>
              <w:rPr>
                <w:rFonts w:ascii="仿宋" w:hAnsi="仿宋" w:eastAsia="仿宋" w:cs="宋体"/>
                <w:color w:val="auto"/>
                <w:sz w:val="24"/>
              </w:rPr>
            </w:pPr>
            <w:r>
              <w:rPr>
                <w:rFonts w:hint="eastAsia" w:ascii="仿宋" w:hAnsi="仿宋" w:eastAsia="仿宋" w:cs="宋体"/>
                <w:color w:val="auto"/>
                <w:kern w:val="0"/>
                <w:sz w:val="24"/>
                <w:lang w:bidi="ar"/>
              </w:rPr>
              <w:t xml:space="preserve">   </w:t>
            </w:r>
            <w:r>
              <w:rPr>
                <w:rFonts w:ascii="仿宋" w:hAnsi="仿宋" w:eastAsia="仿宋" w:cs="宋体"/>
                <w:color w:val="auto"/>
                <w:kern w:val="0"/>
                <w:sz w:val="24"/>
                <w:lang w:bidi="ar"/>
              </w:rPr>
              <w:t xml:space="preserve">    </w:t>
            </w:r>
            <w:r>
              <w:rPr>
                <w:rFonts w:hint="eastAsia" w:ascii="仿宋" w:hAnsi="仿宋" w:eastAsia="仿宋" w:cs="宋体"/>
                <w:color w:val="auto"/>
                <w:kern w:val="0"/>
                <w:sz w:val="24"/>
                <w:lang w:bidi="ar"/>
              </w:rPr>
              <w:t xml:space="preserve">  </w:t>
            </w:r>
            <w:r>
              <w:rPr>
                <w:rFonts w:ascii="仿宋" w:hAnsi="仿宋" w:eastAsia="仿宋" w:cs="宋体"/>
                <w:color w:val="auto"/>
                <w:kern w:val="0"/>
                <w:sz w:val="24"/>
                <w:lang w:bidi="ar"/>
              </w:rPr>
              <w:t>k</w:t>
            </w:r>
            <w:r>
              <w:rPr>
                <w:rFonts w:hint="eastAsia" w:ascii="仿宋" w:hAnsi="仿宋" w:eastAsia="仿宋" w:cs="宋体"/>
                <w:color w:val="auto"/>
                <w:kern w:val="0"/>
                <w:sz w:val="24"/>
                <w:lang w:bidi="ar"/>
              </w:rPr>
              <w:t>m</w:t>
            </w:r>
            <w:r>
              <w:rPr>
                <w:rFonts w:ascii="仿宋" w:hAnsi="仿宋" w:eastAsia="仿宋" w:cs="宋体"/>
                <w:color w:val="auto"/>
                <w:kern w:val="0"/>
                <w:sz w:val="24"/>
                <w:vertAlign w:val="superscript"/>
                <w:lang w:bidi="ar"/>
              </w:rPr>
              <w:t>2</w:t>
            </w:r>
          </w:p>
        </w:tc>
      </w:tr>
      <w:tr w14:paraId="51736BDB">
        <w:tblPrEx>
          <w:tblCellMar>
            <w:top w:w="0" w:type="dxa"/>
            <w:left w:w="0" w:type="dxa"/>
            <w:bottom w:w="0" w:type="dxa"/>
            <w:right w:w="0" w:type="dxa"/>
          </w:tblCellMar>
        </w:tblPrEx>
        <w:trPr>
          <w:trHeight w:val="1598" w:hRule="atLeast"/>
          <w:jc w:val="center"/>
        </w:trPr>
        <w:tc>
          <w:tcPr>
            <w:tcW w:w="13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12C446">
            <w:pPr>
              <w:jc w:val="center"/>
              <w:textAlignment w:val="center"/>
              <w:rPr>
                <w:rFonts w:ascii="仿宋" w:hAnsi="仿宋" w:eastAsia="仿宋" w:cs="宋体"/>
                <w:color w:val="auto"/>
                <w:kern w:val="0"/>
                <w:sz w:val="24"/>
                <w:lang w:bidi="ar"/>
              </w:rPr>
            </w:pPr>
            <w:r>
              <w:rPr>
                <w:rFonts w:hint="eastAsia" w:ascii="仿宋" w:hAnsi="仿宋" w:eastAsia="仿宋"/>
                <w:snapToGrid w:val="0"/>
                <w:color w:val="auto"/>
                <w:kern w:val="0"/>
                <w:sz w:val="24"/>
              </w:rPr>
              <w:t>采选工艺设备</w:t>
            </w:r>
          </w:p>
        </w:tc>
        <w:tc>
          <w:tcPr>
            <w:tcW w:w="3637"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9FE1C2">
            <w:pPr>
              <w:jc w:val="center"/>
              <w:rPr>
                <w:rFonts w:ascii="仿宋" w:hAnsi="仿宋" w:eastAsia="仿宋" w:cs="宋体"/>
                <w:color w:val="auto"/>
                <w:kern w:val="0"/>
                <w:sz w:val="24"/>
                <w:lang w:bidi="ar"/>
              </w:rPr>
            </w:pPr>
          </w:p>
        </w:tc>
      </w:tr>
      <w:tr w14:paraId="460EA4D7">
        <w:tblPrEx>
          <w:tblCellMar>
            <w:top w:w="0" w:type="dxa"/>
            <w:left w:w="0" w:type="dxa"/>
            <w:bottom w:w="0" w:type="dxa"/>
            <w:right w:w="0" w:type="dxa"/>
          </w:tblCellMar>
        </w:tblPrEx>
        <w:trPr>
          <w:trHeight w:val="1692" w:hRule="atLeast"/>
          <w:jc w:val="center"/>
        </w:trPr>
        <w:tc>
          <w:tcPr>
            <w:tcW w:w="13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130A23">
            <w:pPr>
              <w:jc w:val="center"/>
              <w:textAlignment w:val="center"/>
              <w:rPr>
                <w:rFonts w:ascii="仿宋" w:hAnsi="仿宋" w:eastAsia="仿宋" w:cs="宋体"/>
                <w:color w:val="auto"/>
                <w:kern w:val="0"/>
                <w:sz w:val="24"/>
                <w:lang w:bidi="ar"/>
              </w:rPr>
            </w:pPr>
            <w:r>
              <w:rPr>
                <w:rFonts w:hint="eastAsia" w:ascii="仿宋" w:hAnsi="仿宋" w:eastAsia="仿宋"/>
                <w:snapToGrid w:val="0"/>
                <w:color w:val="auto"/>
                <w:kern w:val="0"/>
                <w:sz w:val="24"/>
              </w:rPr>
              <w:t>综合利用情况</w:t>
            </w:r>
          </w:p>
        </w:tc>
        <w:tc>
          <w:tcPr>
            <w:tcW w:w="3637"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47981F">
            <w:pPr>
              <w:jc w:val="center"/>
              <w:rPr>
                <w:rFonts w:ascii="仿宋" w:hAnsi="仿宋" w:eastAsia="仿宋" w:cs="宋体"/>
                <w:color w:val="auto"/>
                <w:kern w:val="0"/>
                <w:sz w:val="24"/>
                <w:lang w:bidi="ar"/>
              </w:rPr>
            </w:pPr>
          </w:p>
        </w:tc>
      </w:tr>
      <w:tr w14:paraId="7709C4F4">
        <w:tblPrEx>
          <w:tblCellMar>
            <w:top w:w="0" w:type="dxa"/>
            <w:left w:w="0" w:type="dxa"/>
            <w:bottom w:w="0" w:type="dxa"/>
            <w:right w:w="0" w:type="dxa"/>
          </w:tblCellMar>
        </w:tblPrEx>
        <w:trPr>
          <w:trHeight w:val="1377" w:hRule="atLeast"/>
          <w:jc w:val="center"/>
        </w:trPr>
        <w:tc>
          <w:tcPr>
            <w:tcW w:w="13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EA0241">
            <w:pPr>
              <w:overflowPunct w:val="0"/>
              <w:topLinePunct/>
              <w:adjustRightInd w:val="0"/>
              <w:snapToGrid w:val="0"/>
              <w:jc w:val="center"/>
              <w:rPr>
                <w:rFonts w:ascii="仿宋" w:hAnsi="仿宋" w:eastAsia="仿宋"/>
                <w:snapToGrid w:val="0"/>
                <w:color w:val="auto"/>
                <w:kern w:val="0"/>
                <w:sz w:val="24"/>
              </w:rPr>
            </w:pPr>
            <w:r>
              <w:rPr>
                <w:rFonts w:hint="eastAsia" w:ascii="仿宋" w:hAnsi="仿宋" w:eastAsia="仿宋"/>
                <w:snapToGrid w:val="0"/>
                <w:color w:val="auto"/>
                <w:kern w:val="0"/>
                <w:sz w:val="24"/>
              </w:rPr>
              <w:t>矿业权</w:t>
            </w:r>
          </w:p>
          <w:p w14:paraId="0C88D5D1">
            <w:pPr>
              <w:jc w:val="center"/>
              <w:textAlignment w:val="center"/>
              <w:rPr>
                <w:rFonts w:ascii="仿宋" w:hAnsi="仿宋" w:eastAsia="仿宋" w:cs="宋体"/>
                <w:color w:val="auto"/>
                <w:kern w:val="0"/>
                <w:sz w:val="24"/>
                <w:lang w:bidi="ar"/>
              </w:rPr>
            </w:pPr>
            <w:r>
              <w:rPr>
                <w:rFonts w:hint="eastAsia" w:ascii="仿宋" w:hAnsi="仿宋" w:eastAsia="仿宋"/>
                <w:snapToGrid w:val="0"/>
                <w:color w:val="auto"/>
                <w:kern w:val="0"/>
                <w:sz w:val="24"/>
              </w:rPr>
              <w:t>有偿使用情况</w:t>
            </w:r>
          </w:p>
        </w:tc>
        <w:tc>
          <w:tcPr>
            <w:tcW w:w="3637"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3F7B7A">
            <w:pPr>
              <w:jc w:val="center"/>
              <w:rPr>
                <w:rFonts w:ascii="仿宋" w:hAnsi="仿宋" w:eastAsia="仿宋" w:cs="宋体"/>
                <w:color w:val="auto"/>
                <w:kern w:val="0"/>
                <w:sz w:val="24"/>
                <w:lang w:bidi="ar"/>
              </w:rPr>
            </w:pPr>
          </w:p>
        </w:tc>
      </w:tr>
      <w:tr w14:paraId="5E67E61B">
        <w:tblPrEx>
          <w:tblCellMar>
            <w:top w:w="0" w:type="dxa"/>
            <w:left w:w="0" w:type="dxa"/>
            <w:bottom w:w="0" w:type="dxa"/>
            <w:right w:w="0" w:type="dxa"/>
          </w:tblCellMar>
        </w:tblPrEx>
        <w:trPr>
          <w:trHeight w:val="1539" w:hRule="atLeast"/>
          <w:jc w:val="center"/>
        </w:trPr>
        <w:tc>
          <w:tcPr>
            <w:tcW w:w="1363" w:type="pct"/>
            <w:tcBorders>
              <w:top w:val="single" w:color="000000" w:sz="4" w:space="0"/>
              <w:left w:val="single" w:color="000000" w:sz="4" w:space="0"/>
              <w:right w:val="single" w:color="000000" w:sz="4" w:space="0"/>
            </w:tcBorders>
            <w:tcMar>
              <w:top w:w="12" w:type="dxa"/>
              <w:left w:w="12" w:type="dxa"/>
              <w:right w:w="12" w:type="dxa"/>
            </w:tcMar>
            <w:vAlign w:val="center"/>
          </w:tcPr>
          <w:p w14:paraId="67B920C7">
            <w:pPr>
              <w:overflowPunct w:val="0"/>
              <w:topLinePunct/>
              <w:adjustRightInd w:val="0"/>
              <w:snapToGrid w:val="0"/>
              <w:jc w:val="center"/>
              <w:rPr>
                <w:rFonts w:ascii="仿宋" w:hAnsi="仿宋" w:eastAsia="仿宋"/>
                <w:snapToGrid w:val="0"/>
                <w:color w:val="auto"/>
                <w:kern w:val="0"/>
                <w:sz w:val="24"/>
              </w:rPr>
            </w:pPr>
            <w:r>
              <w:rPr>
                <w:rFonts w:hint="eastAsia" w:ascii="仿宋" w:hAnsi="仿宋" w:eastAsia="仿宋"/>
                <w:snapToGrid w:val="0"/>
                <w:color w:val="auto"/>
                <w:kern w:val="0"/>
                <w:sz w:val="24"/>
              </w:rPr>
              <w:t>矿山地质环境</w:t>
            </w:r>
          </w:p>
          <w:p w14:paraId="14058E4C">
            <w:pPr>
              <w:jc w:val="center"/>
              <w:textAlignment w:val="center"/>
              <w:rPr>
                <w:rFonts w:ascii="仿宋" w:hAnsi="仿宋" w:eastAsia="仿宋" w:cs="宋体"/>
                <w:color w:val="auto"/>
                <w:kern w:val="0"/>
                <w:sz w:val="24"/>
                <w:lang w:bidi="ar"/>
              </w:rPr>
            </w:pPr>
            <w:r>
              <w:rPr>
                <w:rFonts w:hint="eastAsia" w:ascii="仿宋" w:hAnsi="仿宋" w:eastAsia="仿宋"/>
                <w:snapToGrid w:val="0"/>
                <w:color w:val="auto"/>
                <w:kern w:val="0"/>
                <w:sz w:val="24"/>
              </w:rPr>
              <w:t>保护与土地复垦情况</w:t>
            </w:r>
          </w:p>
        </w:tc>
        <w:tc>
          <w:tcPr>
            <w:tcW w:w="3637" w:type="pct"/>
            <w:gridSpan w:val="3"/>
            <w:tcBorders>
              <w:top w:val="single" w:color="000000" w:sz="4" w:space="0"/>
              <w:left w:val="single" w:color="000000" w:sz="4" w:space="0"/>
              <w:right w:val="single" w:color="000000" w:sz="4" w:space="0"/>
            </w:tcBorders>
            <w:tcMar>
              <w:top w:w="12" w:type="dxa"/>
              <w:left w:w="12" w:type="dxa"/>
              <w:right w:w="12" w:type="dxa"/>
            </w:tcMar>
            <w:vAlign w:val="center"/>
          </w:tcPr>
          <w:p w14:paraId="07EA045D">
            <w:pPr>
              <w:jc w:val="center"/>
              <w:rPr>
                <w:rFonts w:ascii="仿宋" w:hAnsi="仿宋" w:eastAsia="仿宋" w:cs="宋体"/>
                <w:color w:val="auto"/>
                <w:kern w:val="0"/>
                <w:sz w:val="24"/>
                <w:lang w:bidi="ar"/>
              </w:rPr>
            </w:pPr>
          </w:p>
        </w:tc>
      </w:tr>
      <w:tr w14:paraId="6559E224">
        <w:tblPrEx>
          <w:tblCellMar>
            <w:top w:w="0" w:type="dxa"/>
            <w:left w:w="0" w:type="dxa"/>
            <w:bottom w:w="0" w:type="dxa"/>
            <w:right w:w="0" w:type="dxa"/>
          </w:tblCellMar>
        </w:tblPrEx>
        <w:trPr>
          <w:trHeight w:val="503" w:hRule="atLeast"/>
          <w:jc w:val="center"/>
        </w:trPr>
        <w:tc>
          <w:tcPr>
            <w:tcW w:w="13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1437EA">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法定代表人</w:t>
            </w:r>
          </w:p>
        </w:tc>
        <w:tc>
          <w:tcPr>
            <w:tcW w:w="113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84A8FF">
            <w:pPr>
              <w:jc w:val="center"/>
              <w:rPr>
                <w:rFonts w:ascii="仿宋" w:hAnsi="仿宋" w:eastAsia="仿宋" w:cs="宋体"/>
                <w:color w:val="auto"/>
                <w:sz w:val="24"/>
              </w:rPr>
            </w:pPr>
          </w:p>
        </w:tc>
        <w:tc>
          <w:tcPr>
            <w:tcW w:w="124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FCDF3A">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联 系 人</w:t>
            </w:r>
          </w:p>
        </w:tc>
        <w:tc>
          <w:tcPr>
            <w:tcW w:w="125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A919D4">
            <w:pPr>
              <w:jc w:val="center"/>
              <w:rPr>
                <w:rFonts w:ascii="仿宋" w:hAnsi="仿宋" w:eastAsia="仿宋" w:cs="宋体"/>
                <w:color w:val="auto"/>
                <w:szCs w:val="21"/>
              </w:rPr>
            </w:pPr>
          </w:p>
        </w:tc>
      </w:tr>
      <w:tr w14:paraId="27081FB3">
        <w:tblPrEx>
          <w:tblCellMar>
            <w:top w:w="0" w:type="dxa"/>
            <w:left w:w="0" w:type="dxa"/>
            <w:bottom w:w="0" w:type="dxa"/>
            <w:right w:w="0" w:type="dxa"/>
          </w:tblCellMar>
        </w:tblPrEx>
        <w:trPr>
          <w:trHeight w:val="552" w:hRule="atLeast"/>
          <w:jc w:val="center"/>
        </w:trPr>
        <w:tc>
          <w:tcPr>
            <w:tcW w:w="13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A12E38">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通讯地址</w:t>
            </w:r>
          </w:p>
        </w:tc>
        <w:tc>
          <w:tcPr>
            <w:tcW w:w="113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3394D9">
            <w:pPr>
              <w:jc w:val="center"/>
              <w:rPr>
                <w:rFonts w:ascii="仿宋" w:hAnsi="仿宋" w:eastAsia="仿宋" w:cs="宋体"/>
                <w:color w:val="auto"/>
                <w:sz w:val="24"/>
              </w:rPr>
            </w:pPr>
          </w:p>
        </w:tc>
        <w:tc>
          <w:tcPr>
            <w:tcW w:w="124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DDFC05">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电子邮箱</w:t>
            </w:r>
          </w:p>
        </w:tc>
        <w:tc>
          <w:tcPr>
            <w:tcW w:w="125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EB1334">
            <w:pPr>
              <w:jc w:val="center"/>
              <w:rPr>
                <w:rFonts w:ascii="仿宋" w:hAnsi="仿宋" w:eastAsia="仿宋" w:cs="宋体"/>
                <w:color w:val="auto"/>
                <w:szCs w:val="21"/>
              </w:rPr>
            </w:pPr>
          </w:p>
        </w:tc>
      </w:tr>
      <w:tr w14:paraId="3388B74A">
        <w:tblPrEx>
          <w:tblCellMar>
            <w:top w:w="0" w:type="dxa"/>
            <w:left w:w="0" w:type="dxa"/>
            <w:bottom w:w="0" w:type="dxa"/>
            <w:right w:w="0" w:type="dxa"/>
          </w:tblCellMar>
        </w:tblPrEx>
        <w:trPr>
          <w:trHeight w:val="546" w:hRule="atLeast"/>
          <w:jc w:val="center"/>
        </w:trPr>
        <w:tc>
          <w:tcPr>
            <w:tcW w:w="13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0EAFD1">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固定电话</w:t>
            </w:r>
          </w:p>
        </w:tc>
        <w:tc>
          <w:tcPr>
            <w:tcW w:w="113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142624">
            <w:pPr>
              <w:jc w:val="center"/>
              <w:rPr>
                <w:rFonts w:ascii="仿宋" w:hAnsi="仿宋" w:eastAsia="仿宋" w:cs="宋体"/>
                <w:color w:val="auto"/>
                <w:sz w:val="24"/>
              </w:rPr>
            </w:pPr>
          </w:p>
        </w:tc>
        <w:tc>
          <w:tcPr>
            <w:tcW w:w="124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9F9D03">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传    真</w:t>
            </w:r>
          </w:p>
        </w:tc>
        <w:tc>
          <w:tcPr>
            <w:tcW w:w="125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D374C0">
            <w:pPr>
              <w:jc w:val="center"/>
              <w:rPr>
                <w:rFonts w:ascii="仿宋" w:hAnsi="仿宋" w:eastAsia="仿宋" w:cs="宋体"/>
                <w:color w:val="auto"/>
                <w:szCs w:val="21"/>
              </w:rPr>
            </w:pPr>
          </w:p>
        </w:tc>
      </w:tr>
      <w:tr w14:paraId="7B864272">
        <w:tblPrEx>
          <w:tblCellMar>
            <w:top w:w="0" w:type="dxa"/>
            <w:left w:w="0" w:type="dxa"/>
            <w:bottom w:w="0" w:type="dxa"/>
            <w:right w:w="0" w:type="dxa"/>
          </w:tblCellMar>
        </w:tblPrEx>
        <w:trPr>
          <w:trHeight w:val="540" w:hRule="atLeast"/>
          <w:jc w:val="center"/>
        </w:trPr>
        <w:tc>
          <w:tcPr>
            <w:tcW w:w="13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F2AF5C">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手    机</w:t>
            </w:r>
          </w:p>
        </w:tc>
        <w:tc>
          <w:tcPr>
            <w:tcW w:w="113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89E880">
            <w:pPr>
              <w:jc w:val="center"/>
              <w:rPr>
                <w:rFonts w:ascii="仿宋" w:hAnsi="仿宋" w:eastAsia="仿宋" w:cs="宋体"/>
                <w:color w:val="auto"/>
                <w:sz w:val="24"/>
              </w:rPr>
            </w:pPr>
          </w:p>
        </w:tc>
        <w:tc>
          <w:tcPr>
            <w:tcW w:w="124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E58D48">
            <w:pPr>
              <w:jc w:val="center"/>
              <w:textAlignment w:val="center"/>
              <w:rPr>
                <w:rFonts w:ascii="仿宋" w:hAnsi="仿宋" w:eastAsia="仿宋" w:cs="宋体"/>
                <w:color w:val="auto"/>
                <w:sz w:val="24"/>
              </w:rPr>
            </w:pPr>
            <w:r>
              <w:rPr>
                <w:rFonts w:hint="eastAsia" w:ascii="仿宋" w:hAnsi="仿宋" w:eastAsia="仿宋" w:cs="宋体"/>
                <w:color w:val="auto"/>
                <w:kern w:val="0"/>
                <w:sz w:val="24"/>
                <w:lang w:bidi="ar"/>
              </w:rPr>
              <w:t>邮    编</w:t>
            </w:r>
          </w:p>
        </w:tc>
        <w:tc>
          <w:tcPr>
            <w:tcW w:w="125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175D80">
            <w:pPr>
              <w:jc w:val="center"/>
              <w:rPr>
                <w:rFonts w:ascii="仿宋" w:hAnsi="仿宋" w:eastAsia="仿宋" w:cs="宋体"/>
                <w:color w:val="auto"/>
                <w:szCs w:val="21"/>
              </w:rPr>
            </w:pPr>
          </w:p>
        </w:tc>
      </w:tr>
    </w:tbl>
    <w:p w14:paraId="507F72E6">
      <w:pPr>
        <w:overflowPunct w:val="0"/>
        <w:topLinePunct/>
        <w:adjustRightInd w:val="0"/>
        <w:snapToGrid w:val="0"/>
        <w:spacing w:line="360" w:lineRule="auto"/>
        <w:rPr>
          <w:rFonts w:ascii="黑体" w:hAnsi="黑体" w:eastAsia="黑体"/>
          <w:snapToGrid w:val="0"/>
          <w:color w:val="auto"/>
          <w:kern w:val="0"/>
          <w:sz w:val="32"/>
          <w:szCs w:val="32"/>
        </w:rPr>
      </w:pPr>
      <w:r>
        <w:rPr>
          <w:rFonts w:hint="eastAsia" w:ascii="黑体" w:hAnsi="黑体" w:eastAsia="黑体"/>
          <w:snapToGrid w:val="0"/>
          <w:color w:val="auto"/>
          <w:kern w:val="0"/>
          <w:sz w:val="32"/>
          <w:szCs w:val="32"/>
        </w:rPr>
        <w:t>二、审核意见</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4"/>
      </w:tblGrid>
      <w:tr w14:paraId="77DB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9" w:hRule="atLeast"/>
          <w:jc w:val="center"/>
        </w:trPr>
        <w:tc>
          <w:tcPr>
            <w:tcW w:w="9064" w:type="dxa"/>
            <w:tcBorders>
              <w:top w:val="single" w:color="auto" w:sz="4" w:space="0"/>
              <w:left w:val="single" w:color="auto" w:sz="4" w:space="0"/>
              <w:bottom w:val="single" w:color="auto" w:sz="4" w:space="0"/>
              <w:right w:val="single" w:color="auto" w:sz="4" w:space="0"/>
            </w:tcBorders>
          </w:tcPr>
          <w:p w14:paraId="321BB5BF">
            <w:pPr>
              <w:overflowPunct w:val="0"/>
              <w:topLinePunct/>
              <w:adjustRightInd w:val="0"/>
              <w:snapToGrid w:val="0"/>
              <w:spacing w:line="360" w:lineRule="auto"/>
              <w:rPr>
                <w:rFonts w:ascii="仿宋" w:hAnsi="仿宋" w:eastAsia="仿宋"/>
                <w:snapToGrid w:val="0"/>
                <w:color w:val="auto"/>
                <w:kern w:val="0"/>
                <w:sz w:val="24"/>
              </w:rPr>
            </w:pPr>
            <w:r>
              <w:rPr>
                <w:rFonts w:hint="eastAsia" w:ascii="仿宋" w:hAnsi="仿宋" w:eastAsia="仿宋"/>
                <w:snapToGrid w:val="0"/>
                <w:color w:val="auto"/>
                <w:kern w:val="0"/>
                <w:sz w:val="24"/>
              </w:rPr>
              <w:t>矿山所在地县级自然资源主管部门审核意见：</w:t>
            </w:r>
          </w:p>
          <w:p w14:paraId="1749212B">
            <w:pPr>
              <w:overflowPunct w:val="0"/>
              <w:topLinePunct/>
              <w:adjustRightInd w:val="0"/>
              <w:snapToGrid w:val="0"/>
              <w:spacing w:line="360" w:lineRule="auto"/>
              <w:rPr>
                <w:rFonts w:ascii="宋体" w:hAnsi="宋体" w:eastAsia="宋体"/>
                <w:snapToGrid w:val="0"/>
                <w:color w:val="auto"/>
                <w:kern w:val="0"/>
                <w:sz w:val="24"/>
              </w:rPr>
            </w:pPr>
          </w:p>
          <w:p w14:paraId="1058B7CC">
            <w:pPr>
              <w:overflowPunct w:val="0"/>
              <w:topLinePunct/>
              <w:adjustRightInd w:val="0"/>
              <w:snapToGrid w:val="0"/>
              <w:spacing w:line="360" w:lineRule="auto"/>
              <w:rPr>
                <w:rFonts w:ascii="宋体" w:hAnsi="宋体" w:eastAsia="宋体"/>
                <w:snapToGrid w:val="0"/>
                <w:color w:val="auto"/>
                <w:kern w:val="0"/>
                <w:sz w:val="24"/>
              </w:rPr>
            </w:pPr>
          </w:p>
          <w:p w14:paraId="661216CD">
            <w:pPr>
              <w:overflowPunct w:val="0"/>
              <w:topLinePunct/>
              <w:adjustRightInd w:val="0"/>
              <w:snapToGrid w:val="0"/>
              <w:spacing w:line="360" w:lineRule="auto"/>
              <w:rPr>
                <w:rFonts w:ascii="宋体" w:hAnsi="宋体" w:eastAsia="宋体"/>
                <w:snapToGrid w:val="0"/>
                <w:color w:val="auto"/>
                <w:kern w:val="0"/>
                <w:sz w:val="24"/>
              </w:rPr>
            </w:pPr>
          </w:p>
          <w:p w14:paraId="607E4BCD">
            <w:pPr>
              <w:overflowPunct w:val="0"/>
              <w:topLinePunct/>
              <w:adjustRightInd w:val="0"/>
              <w:snapToGrid w:val="0"/>
              <w:spacing w:line="360" w:lineRule="auto"/>
              <w:rPr>
                <w:rFonts w:ascii="宋体" w:hAnsi="宋体" w:eastAsia="宋体"/>
                <w:snapToGrid w:val="0"/>
                <w:color w:val="auto"/>
                <w:kern w:val="0"/>
                <w:sz w:val="24"/>
              </w:rPr>
            </w:pPr>
          </w:p>
          <w:p w14:paraId="4037F3AB">
            <w:pPr>
              <w:overflowPunct w:val="0"/>
              <w:topLinePunct/>
              <w:adjustRightInd w:val="0"/>
              <w:snapToGrid w:val="0"/>
              <w:spacing w:line="360" w:lineRule="auto"/>
              <w:rPr>
                <w:rFonts w:ascii="宋体" w:hAnsi="宋体" w:eastAsia="宋体"/>
                <w:strike/>
                <w:snapToGrid w:val="0"/>
                <w:color w:val="auto"/>
                <w:kern w:val="0"/>
                <w:sz w:val="24"/>
              </w:rPr>
            </w:pPr>
          </w:p>
          <w:p w14:paraId="2B6E4390">
            <w:pPr>
              <w:overflowPunct w:val="0"/>
              <w:topLinePunct/>
              <w:adjustRightInd w:val="0"/>
              <w:snapToGrid w:val="0"/>
              <w:spacing w:line="360" w:lineRule="auto"/>
              <w:rPr>
                <w:rFonts w:ascii="宋体" w:hAnsi="宋体" w:eastAsia="宋体"/>
                <w:snapToGrid w:val="0"/>
                <w:color w:val="auto"/>
                <w:kern w:val="0"/>
                <w:sz w:val="24"/>
              </w:rPr>
            </w:pPr>
          </w:p>
          <w:p w14:paraId="0324DC18">
            <w:pPr>
              <w:overflowPunct w:val="0"/>
              <w:topLinePunct/>
              <w:adjustRightInd w:val="0"/>
              <w:snapToGrid w:val="0"/>
              <w:spacing w:line="360" w:lineRule="auto"/>
              <w:rPr>
                <w:rFonts w:ascii="宋体" w:hAnsi="宋体" w:eastAsia="宋体"/>
                <w:snapToGrid w:val="0"/>
                <w:color w:val="auto"/>
                <w:kern w:val="0"/>
                <w:sz w:val="24"/>
              </w:rPr>
            </w:pPr>
          </w:p>
          <w:p w14:paraId="0338DBBD">
            <w:pPr>
              <w:overflowPunct w:val="0"/>
              <w:topLinePunct/>
              <w:adjustRightInd w:val="0"/>
              <w:snapToGrid w:val="0"/>
              <w:spacing w:line="360" w:lineRule="auto"/>
              <w:rPr>
                <w:rFonts w:ascii="宋体" w:hAnsi="宋体" w:eastAsia="宋体"/>
                <w:snapToGrid w:val="0"/>
                <w:color w:val="auto"/>
                <w:kern w:val="0"/>
                <w:sz w:val="24"/>
              </w:rPr>
            </w:pPr>
          </w:p>
          <w:p w14:paraId="34C98C41">
            <w:pPr>
              <w:tabs>
                <w:tab w:val="left" w:pos="5836"/>
              </w:tabs>
              <w:overflowPunct w:val="0"/>
              <w:topLinePunct/>
              <w:adjustRightInd w:val="0"/>
              <w:snapToGrid w:val="0"/>
              <w:spacing w:line="360" w:lineRule="auto"/>
              <w:rPr>
                <w:rFonts w:ascii="仿宋" w:hAnsi="仿宋" w:eastAsia="仿宋"/>
                <w:snapToGrid w:val="0"/>
                <w:color w:val="auto"/>
                <w:kern w:val="0"/>
                <w:sz w:val="24"/>
              </w:rPr>
            </w:pPr>
          </w:p>
          <w:p w14:paraId="7939FBF7">
            <w:pPr>
              <w:tabs>
                <w:tab w:val="left" w:pos="5836"/>
              </w:tabs>
              <w:overflowPunct w:val="0"/>
              <w:topLinePunct/>
              <w:adjustRightInd w:val="0"/>
              <w:snapToGrid w:val="0"/>
              <w:spacing w:line="360" w:lineRule="auto"/>
              <w:ind w:firstLine="3480" w:firstLineChars="1450"/>
              <w:rPr>
                <w:rFonts w:ascii="仿宋" w:hAnsi="仿宋" w:eastAsia="仿宋"/>
                <w:snapToGrid w:val="0"/>
                <w:color w:val="auto"/>
                <w:kern w:val="0"/>
                <w:sz w:val="24"/>
                <w:u w:val="single"/>
              </w:rPr>
            </w:pPr>
            <w:r>
              <w:rPr>
                <w:rFonts w:hint="eastAsia" w:ascii="仿宋" w:hAnsi="仿宋" w:eastAsia="仿宋"/>
                <w:snapToGrid w:val="0"/>
                <w:color w:val="auto"/>
                <w:kern w:val="0"/>
                <w:sz w:val="24"/>
              </w:rPr>
              <w:t xml:space="preserve">                    （单位公章）</w:t>
            </w:r>
          </w:p>
          <w:p w14:paraId="2E71F474">
            <w:pPr>
              <w:overflowPunct w:val="0"/>
              <w:topLinePunct/>
              <w:adjustRightInd w:val="0"/>
              <w:snapToGrid w:val="0"/>
              <w:spacing w:line="360" w:lineRule="auto"/>
              <w:ind w:firstLine="2520" w:firstLineChars="1050"/>
              <w:rPr>
                <w:rFonts w:ascii="宋体" w:hAnsi="宋体" w:eastAsia="宋体"/>
                <w:snapToGrid w:val="0"/>
                <w:color w:val="auto"/>
                <w:kern w:val="0"/>
                <w:sz w:val="24"/>
              </w:rPr>
            </w:pPr>
            <w:r>
              <w:rPr>
                <w:rFonts w:hint="eastAsia" w:ascii="仿宋" w:hAnsi="仿宋" w:eastAsia="仿宋"/>
                <w:snapToGrid w:val="0"/>
                <w:color w:val="auto"/>
                <w:kern w:val="0"/>
                <w:sz w:val="24"/>
              </w:rPr>
              <w:t xml:space="preserve">                             年   月   日</w:t>
            </w:r>
          </w:p>
        </w:tc>
      </w:tr>
      <w:tr w14:paraId="49A3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6" w:hRule="atLeast"/>
          <w:jc w:val="center"/>
        </w:trPr>
        <w:tc>
          <w:tcPr>
            <w:tcW w:w="9064" w:type="dxa"/>
            <w:tcBorders>
              <w:top w:val="single" w:color="auto" w:sz="4" w:space="0"/>
              <w:left w:val="single" w:color="auto" w:sz="4" w:space="0"/>
              <w:bottom w:val="single" w:color="auto" w:sz="4" w:space="0"/>
              <w:right w:val="single" w:color="auto" w:sz="4" w:space="0"/>
            </w:tcBorders>
          </w:tcPr>
          <w:p w14:paraId="45C630E7">
            <w:pPr>
              <w:overflowPunct w:val="0"/>
              <w:topLinePunct/>
              <w:adjustRightInd w:val="0"/>
              <w:snapToGrid w:val="0"/>
              <w:spacing w:line="360" w:lineRule="auto"/>
              <w:rPr>
                <w:rFonts w:ascii="仿宋" w:hAnsi="仿宋" w:eastAsia="仿宋"/>
                <w:snapToGrid w:val="0"/>
                <w:color w:val="auto"/>
                <w:kern w:val="0"/>
                <w:sz w:val="24"/>
              </w:rPr>
            </w:pPr>
            <w:r>
              <w:rPr>
                <w:rFonts w:hint="eastAsia" w:ascii="仿宋" w:hAnsi="仿宋" w:eastAsia="仿宋"/>
                <w:snapToGrid w:val="0"/>
                <w:color w:val="auto"/>
                <w:kern w:val="0"/>
                <w:sz w:val="24"/>
              </w:rPr>
              <w:t>矿山所在地市级自然资源主管部门复核意见：</w:t>
            </w:r>
          </w:p>
          <w:p w14:paraId="3A441CF7">
            <w:pPr>
              <w:overflowPunct w:val="0"/>
              <w:topLinePunct/>
              <w:adjustRightInd w:val="0"/>
              <w:snapToGrid w:val="0"/>
              <w:spacing w:line="360" w:lineRule="auto"/>
              <w:rPr>
                <w:rFonts w:ascii="仿宋" w:hAnsi="仿宋" w:eastAsia="仿宋"/>
                <w:snapToGrid w:val="0"/>
                <w:color w:val="auto"/>
                <w:kern w:val="0"/>
                <w:sz w:val="24"/>
              </w:rPr>
            </w:pPr>
          </w:p>
          <w:p w14:paraId="0CB49BE6">
            <w:pPr>
              <w:overflowPunct w:val="0"/>
              <w:topLinePunct/>
              <w:adjustRightInd w:val="0"/>
              <w:snapToGrid w:val="0"/>
              <w:spacing w:line="360" w:lineRule="auto"/>
              <w:rPr>
                <w:rFonts w:ascii="仿宋" w:hAnsi="仿宋" w:eastAsia="仿宋"/>
                <w:snapToGrid w:val="0"/>
                <w:color w:val="auto"/>
                <w:kern w:val="0"/>
                <w:sz w:val="24"/>
              </w:rPr>
            </w:pPr>
          </w:p>
          <w:p w14:paraId="718663C4">
            <w:pPr>
              <w:overflowPunct w:val="0"/>
              <w:topLinePunct/>
              <w:adjustRightInd w:val="0"/>
              <w:snapToGrid w:val="0"/>
              <w:spacing w:line="360" w:lineRule="auto"/>
              <w:rPr>
                <w:rFonts w:ascii="仿宋" w:hAnsi="仿宋" w:eastAsia="仿宋"/>
                <w:snapToGrid w:val="0"/>
                <w:color w:val="auto"/>
                <w:kern w:val="0"/>
                <w:sz w:val="24"/>
              </w:rPr>
            </w:pPr>
          </w:p>
          <w:p w14:paraId="55F3824F">
            <w:pPr>
              <w:overflowPunct w:val="0"/>
              <w:topLinePunct/>
              <w:adjustRightInd w:val="0"/>
              <w:snapToGrid w:val="0"/>
              <w:spacing w:line="360" w:lineRule="auto"/>
              <w:rPr>
                <w:rFonts w:ascii="仿宋" w:hAnsi="仿宋" w:eastAsia="仿宋"/>
                <w:snapToGrid w:val="0"/>
                <w:color w:val="auto"/>
                <w:kern w:val="0"/>
                <w:sz w:val="24"/>
              </w:rPr>
            </w:pPr>
          </w:p>
          <w:p w14:paraId="7BB0BA63">
            <w:pPr>
              <w:overflowPunct w:val="0"/>
              <w:topLinePunct/>
              <w:adjustRightInd w:val="0"/>
              <w:snapToGrid w:val="0"/>
              <w:spacing w:line="360" w:lineRule="auto"/>
              <w:rPr>
                <w:rFonts w:ascii="仿宋" w:hAnsi="仿宋" w:eastAsia="仿宋"/>
                <w:snapToGrid w:val="0"/>
                <w:color w:val="auto"/>
                <w:kern w:val="0"/>
                <w:sz w:val="24"/>
              </w:rPr>
            </w:pPr>
          </w:p>
          <w:p w14:paraId="717193BA">
            <w:pPr>
              <w:overflowPunct w:val="0"/>
              <w:topLinePunct/>
              <w:adjustRightInd w:val="0"/>
              <w:snapToGrid w:val="0"/>
              <w:spacing w:line="360" w:lineRule="auto"/>
              <w:rPr>
                <w:rFonts w:ascii="仿宋" w:hAnsi="仿宋" w:eastAsia="仿宋"/>
                <w:snapToGrid w:val="0"/>
                <w:color w:val="auto"/>
                <w:kern w:val="0"/>
                <w:sz w:val="24"/>
              </w:rPr>
            </w:pPr>
          </w:p>
          <w:p w14:paraId="34B4996B">
            <w:pPr>
              <w:overflowPunct w:val="0"/>
              <w:topLinePunct/>
              <w:adjustRightInd w:val="0"/>
              <w:snapToGrid w:val="0"/>
              <w:spacing w:line="360" w:lineRule="auto"/>
              <w:rPr>
                <w:rFonts w:ascii="仿宋" w:hAnsi="仿宋" w:eastAsia="仿宋"/>
                <w:snapToGrid w:val="0"/>
                <w:color w:val="auto"/>
                <w:kern w:val="0"/>
                <w:sz w:val="24"/>
              </w:rPr>
            </w:pPr>
          </w:p>
          <w:p w14:paraId="0E475478">
            <w:pPr>
              <w:overflowPunct w:val="0"/>
              <w:topLinePunct/>
              <w:adjustRightInd w:val="0"/>
              <w:snapToGrid w:val="0"/>
              <w:spacing w:line="360" w:lineRule="auto"/>
              <w:rPr>
                <w:rFonts w:ascii="仿宋" w:hAnsi="仿宋" w:eastAsia="仿宋"/>
                <w:snapToGrid w:val="0"/>
                <w:color w:val="auto"/>
                <w:kern w:val="0"/>
                <w:sz w:val="24"/>
              </w:rPr>
            </w:pPr>
          </w:p>
          <w:p w14:paraId="6560B103">
            <w:pPr>
              <w:overflowPunct w:val="0"/>
              <w:topLinePunct/>
              <w:adjustRightInd w:val="0"/>
              <w:snapToGrid w:val="0"/>
              <w:spacing w:line="360" w:lineRule="auto"/>
              <w:rPr>
                <w:rFonts w:ascii="仿宋" w:hAnsi="仿宋" w:eastAsia="仿宋"/>
                <w:snapToGrid w:val="0"/>
                <w:color w:val="auto"/>
                <w:kern w:val="0"/>
                <w:sz w:val="24"/>
              </w:rPr>
            </w:pPr>
          </w:p>
          <w:p w14:paraId="68FC17D4">
            <w:pPr>
              <w:overflowPunct w:val="0"/>
              <w:topLinePunct/>
              <w:adjustRightInd w:val="0"/>
              <w:snapToGrid w:val="0"/>
              <w:spacing w:line="360" w:lineRule="auto"/>
              <w:rPr>
                <w:rFonts w:ascii="仿宋" w:hAnsi="仿宋" w:eastAsia="仿宋"/>
                <w:snapToGrid w:val="0"/>
                <w:color w:val="auto"/>
                <w:kern w:val="0"/>
                <w:sz w:val="24"/>
              </w:rPr>
            </w:pPr>
          </w:p>
          <w:p w14:paraId="782434B1">
            <w:pPr>
              <w:overflowPunct w:val="0"/>
              <w:topLinePunct/>
              <w:adjustRightInd w:val="0"/>
              <w:snapToGrid w:val="0"/>
              <w:spacing w:line="360" w:lineRule="auto"/>
              <w:rPr>
                <w:rFonts w:ascii="仿宋" w:hAnsi="仿宋" w:eastAsia="仿宋"/>
                <w:snapToGrid w:val="0"/>
                <w:color w:val="auto"/>
                <w:kern w:val="0"/>
                <w:sz w:val="24"/>
              </w:rPr>
            </w:pPr>
          </w:p>
          <w:p w14:paraId="126E7BE1">
            <w:pPr>
              <w:overflowPunct w:val="0"/>
              <w:topLinePunct/>
              <w:adjustRightInd w:val="0"/>
              <w:snapToGrid w:val="0"/>
              <w:spacing w:line="360" w:lineRule="auto"/>
              <w:rPr>
                <w:rFonts w:ascii="仿宋" w:hAnsi="仿宋" w:eastAsia="仿宋"/>
                <w:snapToGrid w:val="0"/>
                <w:color w:val="auto"/>
                <w:kern w:val="0"/>
                <w:sz w:val="24"/>
              </w:rPr>
            </w:pPr>
          </w:p>
          <w:p w14:paraId="3F99DF03">
            <w:pPr>
              <w:overflowPunct w:val="0"/>
              <w:topLinePunct/>
              <w:adjustRightInd w:val="0"/>
              <w:snapToGrid w:val="0"/>
              <w:spacing w:line="360" w:lineRule="auto"/>
              <w:ind w:firstLine="3480" w:firstLineChars="1450"/>
              <w:rPr>
                <w:rFonts w:ascii="仿宋" w:hAnsi="仿宋" w:eastAsia="仿宋"/>
                <w:snapToGrid w:val="0"/>
                <w:color w:val="auto"/>
                <w:kern w:val="0"/>
                <w:sz w:val="24"/>
                <w:u w:val="single"/>
              </w:rPr>
            </w:pPr>
            <w:r>
              <w:rPr>
                <w:rFonts w:hint="eastAsia" w:ascii="仿宋" w:hAnsi="仿宋" w:eastAsia="仿宋"/>
                <w:snapToGrid w:val="0"/>
                <w:color w:val="auto"/>
                <w:kern w:val="0"/>
                <w:sz w:val="24"/>
              </w:rPr>
              <w:t xml:space="preserve">     </w:t>
            </w:r>
            <w:r>
              <w:rPr>
                <w:rFonts w:ascii="仿宋" w:hAnsi="仿宋" w:eastAsia="仿宋"/>
                <w:snapToGrid w:val="0"/>
                <w:color w:val="auto"/>
                <w:kern w:val="0"/>
                <w:sz w:val="24"/>
              </w:rPr>
              <w:t xml:space="preserve">  </w:t>
            </w:r>
            <w:r>
              <w:rPr>
                <w:rFonts w:hint="eastAsia" w:ascii="仿宋" w:hAnsi="仿宋" w:eastAsia="仿宋"/>
                <w:snapToGrid w:val="0"/>
                <w:color w:val="auto"/>
                <w:kern w:val="0"/>
                <w:sz w:val="24"/>
              </w:rPr>
              <w:t xml:space="preserve">               （单位公章）</w:t>
            </w:r>
          </w:p>
          <w:p w14:paraId="6110418A">
            <w:pPr>
              <w:tabs>
                <w:tab w:val="left" w:pos="6211"/>
              </w:tabs>
              <w:overflowPunct w:val="0"/>
              <w:topLinePunct/>
              <w:adjustRightInd w:val="0"/>
              <w:snapToGrid w:val="0"/>
              <w:spacing w:line="360" w:lineRule="auto"/>
              <w:ind w:firstLine="3000" w:firstLineChars="1250"/>
              <w:rPr>
                <w:rFonts w:ascii="宋体" w:hAnsi="宋体" w:eastAsia="宋体"/>
                <w:snapToGrid w:val="0"/>
                <w:color w:val="auto"/>
                <w:kern w:val="0"/>
                <w:sz w:val="24"/>
              </w:rPr>
            </w:pPr>
            <w:r>
              <w:rPr>
                <w:rFonts w:hint="eastAsia" w:ascii="仿宋" w:hAnsi="仿宋" w:eastAsia="仿宋"/>
                <w:snapToGrid w:val="0"/>
                <w:color w:val="auto"/>
                <w:kern w:val="0"/>
                <w:sz w:val="24"/>
              </w:rPr>
              <w:t xml:space="preserve">                           年   月   日</w:t>
            </w:r>
          </w:p>
        </w:tc>
      </w:tr>
    </w:tbl>
    <w:p w14:paraId="795D368B">
      <w:pPr>
        <w:overflowPunct w:val="0"/>
        <w:topLinePunct/>
        <w:adjustRightInd w:val="0"/>
        <w:snapToGrid w:val="0"/>
        <w:spacing w:line="600" w:lineRule="exact"/>
        <w:jc w:val="center"/>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填写说明</w:t>
      </w:r>
    </w:p>
    <w:p w14:paraId="645B4604">
      <w:pPr>
        <w:overflowPunct w:val="0"/>
        <w:topLinePunct/>
        <w:adjustRightInd w:val="0"/>
        <w:snapToGrid w:val="0"/>
        <w:spacing w:line="600" w:lineRule="exact"/>
        <w:jc w:val="center"/>
        <w:rPr>
          <w:rFonts w:ascii="宋体" w:hAnsi="宋体" w:eastAsia="宋体"/>
          <w:b/>
          <w:snapToGrid w:val="0"/>
          <w:color w:val="auto"/>
          <w:kern w:val="0"/>
          <w:sz w:val="36"/>
          <w:szCs w:val="36"/>
        </w:rPr>
      </w:pPr>
    </w:p>
    <w:p w14:paraId="43B31505">
      <w:pPr>
        <w:overflowPunct w:val="0"/>
        <w:topLinePunct/>
        <w:adjustRightInd w:val="0"/>
        <w:snapToGrid w:val="0"/>
        <w:spacing w:line="360" w:lineRule="auto"/>
        <w:ind w:firstLine="602" w:firstLineChars="200"/>
        <w:rPr>
          <w:rFonts w:ascii="仿宋" w:hAnsi="仿宋" w:eastAsia="仿宋"/>
          <w:snapToGrid w:val="0"/>
          <w:color w:val="auto"/>
          <w:kern w:val="0"/>
          <w:sz w:val="30"/>
          <w:szCs w:val="30"/>
        </w:rPr>
      </w:pPr>
      <w:r>
        <w:rPr>
          <w:rFonts w:hint="eastAsia" w:ascii="仿宋" w:hAnsi="仿宋" w:eastAsia="仿宋"/>
          <w:b/>
          <w:snapToGrid w:val="0"/>
          <w:color w:val="auto"/>
          <w:kern w:val="0"/>
          <w:sz w:val="30"/>
          <w:szCs w:val="30"/>
        </w:rPr>
        <w:t>1.矿山名称：</w:t>
      </w:r>
      <w:r>
        <w:rPr>
          <w:rFonts w:hint="eastAsia" w:ascii="仿宋" w:hAnsi="仿宋" w:eastAsia="仿宋"/>
          <w:snapToGrid w:val="0"/>
          <w:color w:val="auto"/>
          <w:kern w:val="0"/>
          <w:sz w:val="30"/>
          <w:szCs w:val="30"/>
        </w:rPr>
        <w:t>按照矿山采矿许可证信息填写。</w:t>
      </w:r>
    </w:p>
    <w:p w14:paraId="4B9DE93F">
      <w:pPr>
        <w:overflowPunct w:val="0"/>
        <w:topLinePunct/>
        <w:adjustRightInd w:val="0"/>
        <w:snapToGrid w:val="0"/>
        <w:spacing w:line="360" w:lineRule="auto"/>
        <w:ind w:firstLine="602" w:firstLineChars="200"/>
        <w:rPr>
          <w:rFonts w:ascii="仿宋" w:hAnsi="仿宋" w:eastAsia="仿宋"/>
          <w:snapToGrid w:val="0"/>
          <w:color w:val="auto"/>
          <w:kern w:val="0"/>
          <w:sz w:val="30"/>
          <w:szCs w:val="30"/>
        </w:rPr>
      </w:pPr>
      <w:r>
        <w:rPr>
          <w:rFonts w:ascii="仿宋" w:hAnsi="仿宋" w:eastAsia="仿宋"/>
          <w:b/>
          <w:snapToGrid w:val="0"/>
          <w:color w:val="auto"/>
          <w:kern w:val="0"/>
          <w:sz w:val="30"/>
          <w:szCs w:val="30"/>
        </w:rPr>
        <w:t>2</w:t>
      </w:r>
      <w:r>
        <w:rPr>
          <w:rFonts w:hint="eastAsia" w:ascii="仿宋" w:hAnsi="仿宋" w:eastAsia="仿宋"/>
          <w:b/>
          <w:snapToGrid w:val="0"/>
          <w:color w:val="auto"/>
          <w:kern w:val="0"/>
          <w:sz w:val="30"/>
          <w:szCs w:val="30"/>
        </w:rPr>
        <w:t>.采矿权</w:t>
      </w:r>
      <w:r>
        <w:rPr>
          <w:rFonts w:ascii="仿宋" w:hAnsi="仿宋" w:eastAsia="仿宋"/>
          <w:b/>
          <w:snapToGrid w:val="0"/>
          <w:color w:val="auto"/>
          <w:kern w:val="0"/>
          <w:sz w:val="30"/>
          <w:szCs w:val="30"/>
        </w:rPr>
        <w:t>人：</w:t>
      </w:r>
      <w:r>
        <w:rPr>
          <w:rFonts w:hint="eastAsia" w:ascii="仿宋" w:hAnsi="仿宋" w:eastAsia="仿宋"/>
          <w:snapToGrid w:val="0"/>
          <w:color w:val="auto"/>
          <w:kern w:val="0"/>
          <w:sz w:val="30"/>
          <w:szCs w:val="30"/>
        </w:rPr>
        <w:t>按照矿山采矿许可证信息填写。</w:t>
      </w:r>
    </w:p>
    <w:p w14:paraId="5C338E1D">
      <w:pPr>
        <w:overflowPunct w:val="0"/>
        <w:topLinePunct/>
        <w:adjustRightInd w:val="0"/>
        <w:snapToGrid w:val="0"/>
        <w:spacing w:line="360" w:lineRule="auto"/>
        <w:ind w:firstLine="602" w:firstLineChars="200"/>
        <w:rPr>
          <w:rFonts w:ascii="仿宋" w:hAnsi="仿宋" w:eastAsia="仿宋"/>
          <w:snapToGrid w:val="0"/>
          <w:color w:val="auto"/>
          <w:kern w:val="0"/>
          <w:sz w:val="30"/>
          <w:szCs w:val="30"/>
        </w:rPr>
      </w:pPr>
      <w:r>
        <w:rPr>
          <w:rFonts w:ascii="仿宋" w:hAnsi="仿宋" w:eastAsia="仿宋"/>
          <w:b/>
          <w:snapToGrid w:val="0"/>
          <w:color w:val="auto"/>
          <w:kern w:val="0"/>
          <w:sz w:val="30"/>
          <w:szCs w:val="30"/>
        </w:rPr>
        <w:t>3</w:t>
      </w:r>
      <w:r>
        <w:rPr>
          <w:rFonts w:hint="eastAsia" w:ascii="仿宋" w:hAnsi="仿宋" w:eastAsia="仿宋"/>
          <w:b/>
          <w:snapToGrid w:val="0"/>
          <w:color w:val="auto"/>
          <w:kern w:val="0"/>
          <w:sz w:val="30"/>
          <w:szCs w:val="30"/>
        </w:rPr>
        <w:t>.采矿许可证号：</w:t>
      </w:r>
      <w:r>
        <w:rPr>
          <w:rFonts w:hint="eastAsia" w:ascii="仿宋" w:hAnsi="仿宋" w:eastAsia="仿宋"/>
          <w:snapToGrid w:val="0"/>
          <w:color w:val="auto"/>
          <w:kern w:val="0"/>
          <w:sz w:val="30"/>
          <w:szCs w:val="30"/>
        </w:rPr>
        <w:t>按照矿山采矿许可证信息填写。</w:t>
      </w:r>
    </w:p>
    <w:p w14:paraId="2CB8A554">
      <w:pPr>
        <w:overflowPunct w:val="0"/>
        <w:topLinePunct/>
        <w:adjustRightInd w:val="0"/>
        <w:snapToGrid w:val="0"/>
        <w:spacing w:line="360" w:lineRule="auto"/>
        <w:ind w:firstLine="602" w:firstLineChars="200"/>
        <w:rPr>
          <w:rFonts w:ascii="仿宋" w:hAnsi="仿宋" w:eastAsia="仿宋"/>
          <w:b/>
          <w:snapToGrid w:val="0"/>
          <w:color w:val="auto"/>
          <w:kern w:val="0"/>
          <w:sz w:val="30"/>
          <w:szCs w:val="30"/>
        </w:rPr>
      </w:pPr>
      <w:r>
        <w:rPr>
          <w:rFonts w:ascii="仿宋" w:hAnsi="仿宋" w:eastAsia="仿宋"/>
          <w:b/>
          <w:snapToGrid w:val="0"/>
          <w:color w:val="auto"/>
          <w:kern w:val="0"/>
          <w:sz w:val="30"/>
          <w:szCs w:val="30"/>
        </w:rPr>
        <w:t>4.</w:t>
      </w:r>
      <w:r>
        <w:rPr>
          <w:rFonts w:hint="eastAsia" w:ascii="仿宋" w:hAnsi="仿宋" w:eastAsia="仿宋"/>
          <w:b/>
          <w:snapToGrid w:val="0"/>
          <w:color w:val="auto"/>
          <w:kern w:val="0"/>
          <w:sz w:val="30"/>
          <w:szCs w:val="30"/>
        </w:rPr>
        <w:t xml:space="preserve"> 所属行业：</w:t>
      </w:r>
      <w:r>
        <w:rPr>
          <w:rFonts w:hint="eastAsia" w:ascii="仿宋" w:hAnsi="仿宋" w:eastAsia="仿宋"/>
          <w:snapToGrid w:val="0"/>
          <w:color w:val="auto"/>
          <w:kern w:val="0"/>
          <w:sz w:val="30"/>
          <w:szCs w:val="30"/>
        </w:rPr>
        <w:t>冶金、砂石、菱镁、砂石、水泥灰岩、黄金、有色金属、煤炭、非金属、地热矿泉水</w:t>
      </w:r>
      <w:r>
        <w:rPr>
          <w:rFonts w:ascii="仿宋" w:hAnsi="仿宋" w:eastAsia="仿宋"/>
          <w:snapToGrid w:val="0"/>
          <w:color w:val="auto"/>
          <w:kern w:val="0"/>
          <w:sz w:val="30"/>
          <w:szCs w:val="30"/>
        </w:rPr>
        <w:t>。</w:t>
      </w:r>
    </w:p>
    <w:p w14:paraId="5C38FF62">
      <w:pPr>
        <w:overflowPunct w:val="0"/>
        <w:topLinePunct/>
        <w:adjustRightInd w:val="0"/>
        <w:snapToGrid w:val="0"/>
        <w:spacing w:line="360" w:lineRule="auto"/>
        <w:ind w:firstLine="602" w:firstLineChars="200"/>
        <w:rPr>
          <w:rFonts w:ascii="仿宋" w:hAnsi="仿宋" w:eastAsia="仿宋"/>
          <w:snapToGrid w:val="0"/>
          <w:color w:val="auto"/>
          <w:kern w:val="0"/>
          <w:sz w:val="30"/>
          <w:szCs w:val="30"/>
        </w:rPr>
      </w:pPr>
      <w:r>
        <w:rPr>
          <w:rFonts w:ascii="仿宋" w:hAnsi="仿宋" w:eastAsia="仿宋"/>
          <w:b/>
          <w:snapToGrid w:val="0"/>
          <w:color w:val="auto"/>
          <w:kern w:val="0"/>
          <w:sz w:val="30"/>
          <w:szCs w:val="30"/>
        </w:rPr>
        <w:t>5.</w:t>
      </w:r>
      <w:r>
        <w:rPr>
          <w:rFonts w:hint="eastAsia" w:ascii="仿宋" w:hAnsi="仿宋" w:eastAsia="仿宋"/>
          <w:b/>
          <w:snapToGrid w:val="0"/>
          <w:color w:val="auto"/>
          <w:kern w:val="0"/>
          <w:sz w:val="30"/>
          <w:szCs w:val="30"/>
        </w:rPr>
        <w:t>统一</w:t>
      </w:r>
      <w:r>
        <w:rPr>
          <w:rFonts w:ascii="仿宋" w:hAnsi="仿宋" w:eastAsia="仿宋"/>
          <w:b/>
          <w:snapToGrid w:val="0"/>
          <w:color w:val="auto"/>
          <w:kern w:val="0"/>
          <w:sz w:val="30"/>
          <w:szCs w:val="30"/>
        </w:rPr>
        <w:t>社会信用代码</w:t>
      </w:r>
      <w:r>
        <w:rPr>
          <w:rFonts w:hint="eastAsia" w:ascii="仿宋" w:hAnsi="仿宋" w:eastAsia="仿宋"/>
          <w:b/>
          <w:snapToGrid w:val="0"/>
          <w:color w:val="auto"/>
          <w:kern w:val="0"/>
          <w:sz w:val="30"/>
          <w:szCs w:val="30"/>
        </w:rPr>
        <w:t>：</w:t>
      </w:r>
      <w:r>
        <w:rPr>
          <w:rFonts w:hint="eastAsia" w:ascii="仿宋" w:hAnsi="仿宋" w:eastAsia="仿宋"/>
          <w:snapToGrid w:val="0"/>
          <w:color w:val="auto"/>
          <w:kern w:val="0"/>
          <w:sz w:val="30"/>
          <w:szCs w:val="30"/>
        </w:rPr>
        <w:t>按照</w:t>
      </w:r>
      <w:r>
        <w:rPr>
          <w:rFonts w:ascii="仿宋" w:hAnsi="仿宋" w:eastAsia="仿宋"/>
          <w:snapToGrid w:val="0"/>
          <w:color w:val="auto"/>
          <w:kern w:val="0"/>
          <w:sz w:val="30"/>
          <w:szCs w:val="30"/>
        </w:rPr>
        <w:t>营业执照</w:t>
      </w:r>
      <w:r>
        <w:rPr>
          <w:rFonts w:hint="eastAsia" w:ascii="仿宋" w:hAnsi="仿宋" w:eastAsia="仿宋"/>
          <w:snapToGrid w:val="0"/>
          <w:color w:val="auto"/>
          <w:kern w:val="0"/>
          <w:sz w:val="30"/>
          <w:szCs w:val="30"/>
        </w:rPr>
        <w:t>信息填写。</w:t>
      </w:r>
    </w:p>
    <w:p w14:paraId="620CDB09">
      <w:pPr>
        <w:overflowPunct w:val="0"/>
        <w:topLinePunct/>
        <w:adjustRightInd w:val="0"/>
        <w:snapToGrid w:val="0"/>
        <w:spacing w:line="360" w:lineRule="auto"/>
        <w:ind w:firstLine="602" w:firstLineChars="200"/>
        <w:rPr>
          <w:rFonts w:ascii="仿宋" w:hAnsi="仿宋" w:eastAsia="仿宋"/>
          <w:snapToGrid w:val="0"/>
          <w:color w:val="auto"/>
          <w:kern w:val="0"/>
          <w:sz w:val="30"/>
          <w:szCs w:val="30"/>
        </w:rPr>
      </w:pPr>
      <w:r>
        <w:rPr>
          <w:rFonts w:ascii="仿宋" w:hAnsi="仿宋" w:eastAsia="仿宋"/>
          <w:b/>
          <w:snapToGrid w:val="0"/>
          <w:color w:val="auto"/>
          <w:kern w:val="0"/>
          <w:sz w:val="30"/>
          <w:szCs w:val="30"/>
        </w:rPr>
        <w:t>6</w:t>
      </w:r>
      <w:r>
        <w:rPr>
          <w:rFonts w:hint="eastAsia" w:ascii="仿宋" w:hAnsi="仿宋" w:eastAsia="仿宋"/>
          <w:b/>
          <w:snapToGrid w:val="0"/>
          <w:color w:val="auto"/>
          <w:kern w:val="0"/>
          <w:sz w:val="30"/>
          <w:szCs w:val="30"/>
        </w:rPr>
        <w:t>.矿山地址：</w:t>
      </w:r>
      <w:r>
        <w:rPr>
          <w:rFonts w:hint="eastAsia" w:ascii="仿宋" w:hAnsi="仿宋" w:eastAsia="仿宋"/>
          <w:snapToGrid w:val="0"/>
          <w:color w:val="auto"/>
          <w:kern w:val="0"/>
          <w:sz w:val="30"/>
          <w:szCs w:val="30"/>
        </w:rPr>
        <w:t>矿山实际坐落</w:t>
      </w:r>
      <w:r>
        <w:rPr>
          <w:rFonts w:ascii="仿宋" w:hAnsi="仿宋" w:eastAsia="仿宋"/>
          <w:snapToGrid w:val="0"/>
          <w:color w:val="auto"/>
          <w:kern w:val="0"/>
          <w:sz w:val="30"/>
          <w:szCs w:val="30"/>
        </w:rPr>
        <w:t>位置</w:t>
      </w:r>
      <w:r>
        <w:rPr>
          <w:rFonts w:hint="eastAsia" w:ascii="仿宋" w:hAnsi="仿宋" w:eastAsia="仿宋"/>
          <w:snapToGrid w:val="0"/>
          <w:color w:val="auto"/>
          <w:kern w:val="0"/>
          <w:sz w:val="30"/>
          <w:szCs w:val="30"/>
        </w:rPr>
        <w:t>。</w:t>
      </w:r>
    </w:p>
    <w:p w14:paraId="404FF001">
      <w:pPr>
        <w:overflowPunct w:val="0"/>
        <w:topLinePunct/>
        <w:adjustRightInd w:val="0"/>
        <w:snapToGrid w:val="0"/>
        <w:spacing w:line="360" w:lineRule="auto"/>
        <w:ind w:firstLine="602" w:firstLineChars="200"/>
        <w:rPr>
          <w:rFonts w:ascii="仿宋" w:hAnsi="仿宋" w:eastAsia="仿宋"/>
          <w:b/>
          <w:snapToGrid w:val="0"/>
          <w:color w:val="auto"/>
          <w:kern w:val="0"/>
          <w:sz w:val="30"/>
          <w:szCs w:val="30"/>
        </w:rPr>
      </w:pPr>
      <w:r>
        <w:rPr>
          <w:rFonts w:ascii="仿宋" w:hAnsi="仿宋" w:eastAsia="仿宋"/>
          <w:b/>
          <w:snapToGrid w:val="0"/>
          <w:color w:val="auto"/>
          <w:kern w:val="0"/>
          <w:sz w:val="30"/>
          <w:szCs w:val="30"/>
        </w:rPr>
        <w:t>7</w:t>
      </w:r>
      <w:r>
        <w:rPr>
          <w:rFonts w:hint="eastAsia" w:ascii="仿宋" w:hAnsi="仿宋" w:eastAsia="仿宋"/>
          <w:b/>
          <w:snapToGrid w:val="0"/>
          <w:color w:val="auto"/>
          <w:kern w:val="0"/>
          <w:sz w:val="30"/>
          <w:szCs w:val="30"/>
        </w:rPr>
        <w:t>.经济</w:t>
      </w:r>
      <w:r>
        <w:rPr>
          <w:rFonts w:ascii="仿宋" w:hAnsi="仿宋" w:eastAsia="仿宋"/>
          <w:b/>
          <w:snapToGrid w:val="0"/>
          <w:color w:val="auto"/>
          <w:kern w:val="0"/>
          <w:sz w:val="30"/>
          <w:szCs w:val="30"/>
        </w:rPr>
        <w:t>类型：</w:t>
      </w:r>
      <w:r>
        <w:rPr>
          <w:rFonts w:hint="eastAsia" w:ascii="仿宋" w:hAnsi="仿宋" w:eastAsia="仿宋"/>
          <w:snapToGrid w:val="0"/>
          <w:color w:val="auto"/>
          <w:kern w:val="0"/>
          <w:sz w:val="30"/>
          <w:szCs w:val="30"/>
        </w:rPr>
        <w:t>按照矿山采矿许可证信息填写。</w:t>
      </w:r>
    </w:p>
    <w:p w14:paraId="5D6FF02B">
      <w:pPr>
        <w:overflowPunct w:val="0"/>
        <w:topLinePunct/>
        <w:adjustRightInd w:val="0"/>
        <w:snapToGrid w:val="0"/>
        <w:spacing w:line="360" w:lineRule="auto"/>
        <w:ind w:firstLine="602" w:firstLineChars="200"/>
        <w:rPr>
          <w:rFonts w:ascii="仿宋" w:hAnsi="仿宋" w:eastAsia="仿宋"/>
          <w:snapToGrid w:val="0"/>
          <w:color w:val="auto"/>
          <w:kern w:val="0"/>
          <w:sz w:val="30"/>
          <w:szCs w:val="30"/>
        </w:rPr>
      </w:pPr>
      <w:r>
        <w:rPr>
          <w:rFonts w:ascii="仿宋" w:hAnsi="仿宋" w:eastAsia="仿宋"/>
          <w:b/>
          <w:snapToGrid w:val="0"/>
          <w:color w:val="auto"/>
          <w:kern w:val="0"/>
          <w:sz w:val="30"/>
          <w:szCs w:val="30"/>
        </w:rPr>
        <w:t>8</w:t>
      </w:r>
      <w:r>
        <w:rPr>
          <w:rFonts w:hint="eastAsia" w:ascii="仿宋" w:hAnsi="仿宋" w:eastAsia="仿宋"/>
          <w:b/>
          <w:snapToGrid w:val="0"/>
          <w:color w:val="auto"/>
          <w:kern w:val="0"/>
          <w:sz w:val="30"/>
          <w:szCs w:val="30"/>
        </w:rPr>
        <w:t>.从业</w:t>
      </w:r>
      <w:r>
        <w:rPr>
          <w:rFonts w:ascii="仿宋" w:hAnsi="仿宋" w:eastAsia="仿宋"/>
          <w:b/>
          <w:snapToGrid w:val="0"/>
          <w:color w:val="auto"/>
          <w:kern w:val="0"/>
          <w:sz w:val="30"/>
          <w:szCs w:val="30"/>
        </w:rPr>
        <w:t>人数：</w:t>
      </w:r>
      <w:r>
        <w:rPr>
          <w:rFonts w:hint="eastAsia" w:ascii="仿宋" w:hAnsi="仿宋" w:eastAsia="仿宋"/>
          <w:snapToGrid w:val="0"/>
          <w:color w:val="auto"/>
          <w:kern w:val="0"/>
          <w:sz w:val="30"/>
          <w:szCs w:val="30"/>
        </w:rPr>
        <w:t>截至填表日期的从业人员数量。</w:t>
      </w:r>
    </w:p>
    <w:p w14:paraId="10BE24F9">
      <w:pPr>
        <w:overflowPunct w:val="0"/>
        <w:topLinePunct/>
        <w:adjustRightInd w:val="0"/>
        <w:snapToGrid w:val="0"/>
        <w:spacing w:line="360" w:lineRule="auto"/>
        <w:ind w:firstLine="602" w:firstLineChars="200"/>
        <w:rPr>
          <w:rFonts w:ascii="仿宋" w:hAnsi="仿宋" w:eastAsia="仿宋"/>
          <w:snapToGrid w:val="0"/>
          <w:color w:val="auto"/>
          <w:kern w:val="0"/>
          <w:sz w:val="30"/>
          <w:szCs w:val="30"/>
        </w:rPr>
      </w:pPr>
      <w:r>
        <w:rPr>
          <w:rFonts w:ascii="仿宋" w:hAnsi="仿宋" w:eastAsia="仿宋"/>
          <w:b/>
          <w:snapToGrid w:val="0"/>
          <w:color w:val="auto"/>
          <w:kern w:val="0"/>
          <w:sz w:val="30"/>
          <w:szCs w:val="30"/>
        </w:rPr>
        <w:t>9</w:t>
      </w:r>
      <w:r>
        <w:rPr>
          <w:rFonts w:hint="eastAsia" w:ascii="仿宋" w:hAnsi="仿宋" w:eastAsia="仿宋"/>
          <w:b/>
          <w:snapToGrid w:val="0"/>
          <w:color w:val="auto"/>
          <w:kern w:val="0"/>
          <w:sz w:val="30"/>
          <w:szCs w:val="30"/>
        </w:rPr>
        <w:t>.开采矿种：</w:t>
      </w:r>
      <w:r>
        <w:rPr>
          <w:rFonts w:hint="eastAsia" w:ascii="仿宋" w:hAnsi="仿宋" w:eastAsia="仿宋"/>
          <w:snapToGrid w:val="0"/>
          <w:color w:val="auto"/>
          <w:kern w:val="0"/>
          <w:sz w:val="30"/>
          <w:szCs w:val="30"/>
        </w:rPr>
        <w:t>按照矿山采矿许可证信息填写。</w:t>
      </w:r>
    </w:p>
    <w:p w14:paraId="401AD0B5">
      <w:pPr>
        <w:overflowPunct w:val="0"/>
        <w:topLinePunct/>
        <w:adjustRightInd w:val="0"/>
        <w:snapToGrid w:val="0"/>
        <w:spacing w:line="360" w:lineRule="auto"/>
        <w:ind w:firstLine="602" w:firstLineChars="200"/>
        <w:rPr>
          <w:rFonts w:ascii="仿宋" w:hAnsi="仿宋" w:eastAsia="仿宋"/>
          <w:snapToGrid w:val="0"/>
          <w:color w:val="auto"/>
          <w:kern w:val="0"/>
          <w:sz w:val="30"/>
          <w:szCs w:val="30"/>
        </w:rPr>
      </w:pPr>
      <w:r>
        <w:rPr>
          <w:rFonts w:ascii="仿宋" w:hAnsi="仿宋" w:eastAsia="仿宋"/>
          <w:b/>
          <w:snapToGrid w:val="0"/>
          <w:color w:val="auto"/>
          <w:kern w:val="0"/>
          <w:sz w:val="30"/>
          <w:szCs w:val="30"/>
        </w:rPr>
        <w:t>10</w:t>
      </w:r>
      <w:r>
        <w:rPr>
          <w:rFonts w:hint="eastAsia" w:ascii="仿宋" w:hAnsi="仿宋" w:eastAsia="仿宋"/>
          <w:b/>
          <w:snapToGrid w:val="0"/>
          <w:color w:val="auto"/>
          <w:kern w:val="0"/>
          <w:sz w:val="30"/>
          <w:szCs w:val="30"/>
        </w:rPr>
        <w:t>.开采方式：</w:t>
      </w:r>
      <w:r>
        <w:rPr>
          <w:rFonts w:hint="eastAsia" w:ascii="仿宋" w:hAnsi="仿宋" w:eastAsia="仿宋"/>
          <w:snapToGrid w:val="0"/>
          <w:color w:val="auto"/>
          <w:kern w:val="0"/>
          <w:sz w:val="30"/>
          <w:szCs w:val="30"/>
        </w:rPr>
        <w:t>按照矿山采矿许可证信息填写。</w:t>
      </w:r>
    </w:p>
    <w:p w14:paraId="32E93EC6">
      <w:pPr>
        <w:overflowPunct w:val="0"/>
        <w:topLinePunct/>
        <w:adjustRightInd w:val="0"/>
        <w:snapToGrid w:val="0"/>
        <w:spacing w:line="360" w:lineRule="auto"/>
        <w:ind w:firstLine="602" w:firstLineChars="200"/>
        <w:rPr>
          <w:rFonts w:ascii="仿宋" w:hAnsi="仿宋" w:eastAsia="仿宋"/>
          <w:snapToGrid w:val="0"/>
          <w:color w:val="auto"/>
          <w:kern w:val="0"/>
          <w:sz w:val="30"/>
          <w:szCs w:val="30"/>
        </w:rPr>
      </w:pPr>
      <w:r>
        <w:rPr>
          <w:rFonts w:hint="eastAsia" w:ascii="仿宋" w:hAnsi="仿宋" w:eastAsia="仿宋"/>
          <w:b/>
          <w:snapToGrid w:val="0"/>
          <w:color w:val="auto"/>
          <w:kern w:val="0"/>
          <w:sz w:val="30"/>
          <w:szCs w:val="30"/>
        </w:rPr>
        <w:t>1</w:t>
      </w:r>
      <w:r>
        <w:rPr>
          <w:rFonts w:ascii="仿宋" w:hAnsi="仿宋" w:eastAsia="仿宋"/>
          <w:b/>
          <w:snapToGrid w:val="0"/>
          <w:color w:val="auto"/>
          <w:kern w:val="0"/>
          <w:sz w:val="30"/>
          <w:szCs w:val="30"/>
        </w:rPr>
        <w:t>1</w:t>
      </w:r>
      <w:r>
        <w:rPr>
          <w:rFonts w:hint="eastAsia" w:ascii="仿宋" w:hAnsi="仿宋" w:eastAsia="仿宋"/>
          <w:b/>
          <w:snapToGrid w:val="0"/>
          <w:color w:val="auto"/>
          <w:kern w:val="0"/>
          <w:sz w:val="30"/>
          <w:szCs w:val="30"/>
        </w:rPr>
        <w:t>.矿山规模：</w:t>
      </w:r>
      <w:r>
        <w:rPr>
          <w:rFonts w:hint="eastAsia" w:ascii="仿宋" w:hAnsi="仿宋" w:eastAsia="仿宋"/>
          <w:snapToGrid w:val="0"/>
          <w:color w:val="auto"/>
          <w:kern w:val="0"/>
          <w:sz w:val="30"/>
          <w:szCs w:val="30"/>
        </w:rPr>
        <w:t>大、</w:t>
      </w:r>
      <w:r>
        <w:rPr>
          <w:rFonts w:ascii="仿宋" w:hAnsi="仿宋" w:eastAsia="仿宋"/>
          <w:snapToGrid w:val="0"/>
          <w:color w:val="auto"/>
          <w:kern w:val="0"/>
          <w:sz w:val="30"/>
          <w:szCs w:val="30"/>
        </w:rPr>
        <w:t>中、</w:t>
      </w:r>
      <w:r>
        <w:rPr>
          <w:rFonts w:hint="eastAsia" w:ascii="仿宋" w:hAnsi="仿宋" w:eastAsia="仿宋"/>
          <w:snapToGrid w:val="0"/>
          <w:color w:val="auto"/>
          <w:kern w:val="0"/>
          <w:sz w:val="30"/>
          <w:szCs w:val="30"/>
        </w:rPr>
        <w:t>小型。</w:t>
      </w:r>
    </w:p>
    <w:p w14:paraId="5AE4E34F">
      <w:pPr>
        <w:overflowPunct w:val="0"/>
        <w:topLinePunct/>
        <w:adjustRightInd w:val="0"/>
        <w:snapToGrid w:val="0"/>
        <w:spacing w:line="360" w:lineRule="auto"/>
        <w:ind w:firstLine="602" w:firstLineChars="200"/>
        <w:rPr>
          <w:rFonts w:ascii="仿宋" w:hAnsi="仿宋" w:eastAsia="仿宋"/>
          <w:snapToGrid w:val="0"/>
          <w:color w:val="auto"/>
          <w:kern w:val="0"/>
          <w:sz w:val="30"/>
          <w:szCs w:val="30"/>
        </w:rPr>
      </w:pPr>
      <w:r>
        <w:rPr>
          <w:rFonts w:hint="eastAsia" w:ascii="仿宋" w:hAnsi="仿宋" w:eastAsia="仿宋"/>
          <w:b/>
          <w:snapToGrid w:val="0"/>
          <w:color w:val="auto"/>
          <w:kern w:val="0"/>
          <w:sz w:val="30"/>
          <w:szCs w:val="30"/>
        </w:rPr>
        <w:t>1</w:t>
      </w:r>
      <w:r>
        <w:rPr>
          <w:rFonts w:ascii="仿宋" w:hAnsi="仿宋" w:eastAsia="仿宋"/>
          <w:b/>
          <w:snapToGrid w:val="0"/>
          <w:color w:val="auto"/>
          <w:kern w:val="0"/>
          <w:sz w:val="30"/>
          <w:szCs w:val="30"/>
        </w:rPr>
        <w:t>2</w:t>
      </w:r>
      <w:r>
        <w:rPr>
          <w:rFonts w:hint="eastAsia" w:ascii="仿宋" w:hAnsi="仿宋" w:eastAsia="仿宋"/>
          <w:b/>
          <w:snapToGrid w:val="0"/>
          <w:color w:val="auto"/>
          <w:kern w:val="0"/>
          <w:sz w:val="30"/>
          <w:szCs w:val="30"/>
        </w:rPr>
        <w:t>.生产规模：</w:t>
      </w:r>
      <w:r>
        <w:rPr>
          <w:rFonts w:hint="eastAsia" w:ascii="仿宋" w:hAnsi="仿宋" w:eastAsia="仿宋"/>
          <w:snapToGrid w:val="0"/>
          <w:color w:val="auto"/>
          <w:kern w:val="0"/>
          <w:sz w:val="30"/>
          <w:szCs w:val="30"/>
        </w:rPr>
        <w:t>按照矿山采矿许可证信息填写。</w:t>
      </w:r>
    </w:p>
    <w:p w14:paraId="434784FC">
      <w:pPr>
        <w:overflowPunct w:val="0"/>
        <w:topLinePunct/>
        <w:adjustRightInd w:val="0"/>
        <w:snapToGrid w:val="0"/>
        <w:spacing w:line="360" w:lineRule="auto"/>
        <w:ind w:firstLine="602" w:firstLineChars="200"/>
        <w:rPr>
          <w:rFonts w:ascii="仿宋" w:hAnsi="仿宋" w:eastAsia="仿宋"/>
          <w:snapToGrid w:val="0"/>
          <w:color w:val="auto"/>
          <w:kern w:val="0"/>
          <w:sz w:val="30"/>
          <w:szCs w:val="30"/>
        </w:rPr>
      </w:pPr>
      <w:r>
        <w:rPr>
          <w:rFonts w:hint="eastAsia" w:ascii="仿宋" w:hAnsi="仿宋" w:eastAsia="仿宋"/>
          <w:b/>
          <w:snapToGrid w:val="0"/>
          <w:color w:val="auto"/>
          <w:kern w:val="0"/>
          <w:sz w:val="30"/>
          <w:szCs w:val="30"/>
        </w:rPr>
        <w:t>1</w:t>
      </w:r>
      <w:r>
        <w:rPr>
          <w:rFonts w:ascii="仿宋" w:hAnsi="仿宋" w:eastAsia="仿宋"/>
          <w:b/>
          <w:snapToGrid w:val="0"/>
          <w:color w:val="auto"/>
          <w:kern w:val="0"/>
          <w:sz w:val="30"/>
          <w:szCs w:val="30"/>
        </w:rPr>
        <w:t>3</w:t>
      </w:r>
      <w:r>
        <w:rPr>
          <w:rFonts w:hint="eastAsia" w:ascii="仿宋" w:hAnsi="仿宋" w:eastAsia="仿宋"/>
          <w:b/>
          <w:snapToGrid w:val="0"/>
          <w:color w:val="auto"/>
          <w:kern w:val="0"/>
          <w:sz w:val="30"/>
          <w:szCs w:val="30"/>
        </w:rPr>
        <w:t>.发证</w:t>
      </w:r>
      <w:r>
        <w:rPr>
          <w:rFonts w:ascii="仿宋" w:hAnsi="仿宋" w:eastAsia="仿宋"/>
          <w:b/>
          <w:snapToGrid w:val="0"/>
          <w:color w:val="auto"/>
          <w:kern w:val="0"/>
          <w:sz w:val="30"/>
          <w:szCs w:val="30"/>
        </w:rPr>
        <w:t>机关：</w:t>
      </w:r>
      <w:r>
        <w:rPr>
          <w:rFonts w:hint="eastAsia" w:ascii="仿宋" w:hAnsi="仿宋" w:eastAsia="仿宋"/>
          <w:snapToGrid w:val="0"/>
          <w:color w:val="auto"/>
          <w:kern w:val="0"/>
          <w:sz w:val="30"/>
          <w:szCs w:val="30"/>
        </w:rPr>
        <w:t>按照矿山采矿许可证信息填写。</w:t>
      </w:r>
    </w:p>
    <w:p w14:paraId="5F40DCAD">
      <w:pPr>
        <w:overflowPunct w:val="0"/>
        <w:topLinePunct/>
        <w:adjustRightInd w:val="0"/>
        <w:snapToGrid w:val="0"/>
        <w:spacing w:line="360" w:lineRule="auto"/>
        <w:ind w:firstLine="602" w:firstLineChars="200"/>
        <w:rPr>
          <w:rFonts w:ascii="仿宋" w:hAnsi="仿宋" w:eastAsia="仿宋"/>
          <w:b/>
          <w:snapToGrid w:val="0"/>
          <w:color w:val="auto"/>
          <w:kern w:val="0"/>
          <w:sz w:val="30"/>
          <w:szCs w:val="30"/>
        </w:rPr>
      </w:pPr>
      <w:r>
        <w:rPr>
          <w:rFonts w:hint="eastAsia" w:ascii="仿宋" w:hAnsi="仿宋" w:eastAsia="仿宋"/>
          <w:b/>
          <w:snapToGrid w:val="0"/>
          <w:color w:val="auto"/>
          <w:kern w:val="0"/>
          <w:sz w:val="30"/>
          <w:szCs w:val="30"/>
        </w:rPr>
        <w:t>1</w:t>
      </w:r>
      <w:r>
        <w:rPr>
          <w:rFonts w:ascii="仿宋" w:hAnsi="仿宋" w:eastAsia="仿宋"/>
          <w:b/>
          <w:snapToGrid w:val="0"/>
          <w:color w:val="auto"/>
          <w:kern w:val="0"/>
          <w:sz w:val="30"/>
          <w:szCs w:val="30"/>
        </w:rPr>
        <w:t>4</w:t>
      </w:r>
      <w:r>
        <w:rPr>
          <w:rFonts w:hint="eastAsia" w:ascii="仿宋" w:hAnsi="仿宋" w:eastAsia="仿宋"/>
          <w:b/>
          <w:snapToGrid w:val="0"/>
          <w:color w:val="auto"/>
          <w:kern w:val="0"/>
          <w:sz w:val="30"/>
          <w:szCs w:val="30"/>
        </w:rPr>
        <w:t>.矿区</w:t>
      </w:r>
      <w:r>
        <w:rPr>
          <w:rFonts w:ascii="仿宋" w:hAnsi="仿宋" w:eastAsia="仿宋"/>
          <w:b/>
          <w:snapToGrid w:val="0"/>
          <w:color w:val="auto"/>
          <w:kern w:val="0"/>
          <w:sz w:val="30"/>
          <w:szCs w:val="30"/>
        </w:rPr>
        <w:t>面积：</w:t>
      </w:r>
      <w:r>
        <w:rPr>
          <w:rFonts w:hint="eastAsia" w:ascii="仿宋" w:hAnsi="仿宋" w:eastAsia="仿宋"/>
          <w:snapToGrid w:val="0"/>
          <w:color w:val="auto"/>
          <w:kern w:val="0"/>
          <w:sz w:val="30"/>
          <w:szCs w:val="30"/>
        </w:rPr>
        <w:t>按照矿山采矿许可证信息填写。</w:t>
      </w:r>
    </w:p>
    <w:p w14:paraId="1B354954">
      <w:pPr>
        <w:overflowPunct w:val="0"/>
        <w:topLinePunct/>
        <w:adjustRightInd w:val="0"/>
        <w:snapToGrid w:val="0"/>
        <w:spacing w:line="360" w:lineRule="auto"/>
        <w:ind w:firstLine="602" w:firstLineChars="200"/>
        <w:rPr>
          <w:rFonts w:ascii="仿宋" w:hAnsi="仿宋" w:eastAsia="仿宋"/>
          <w:snapToGrid w:val="0"/>
          <w:color w:val="auto"/>
          <w:kern w:val="0"/>
          <w:sz w:val="30"/>
          <w:szCs w:val="30"/>
        </w:rPr>
      </w:pPr>
      <w:r>
        <w:rPr>
          <w:rFonts w:hint="eastAsia" w:ascii="仿宋" w:hAnsi="仿宋" w:eastAsia="仿宋"/>
          <w:b/>
          <w:snapToGrid w:val="0"/>
          <w:color w:val="auto"/>
          <w:kern w:val="0"/>
          <w:sz w:val="30"/>
          <w:szCs w:val="30"/>
        </w:rPr>
        <w:t>1</w:t>
      </w:r>
      <w:r>
        <w:rPr>
          <w:rFonts w:ascii="仿宋" w:hAnsi="仿宋" w:eastAsia="仿宋"/>
          <w:b/>
          <w:snapToGrid w:val="0"/>
          <w:color w:val="auto"/>
          <w:kern w:val="0"/>
          <w:sz w:val="30"/>
          <w:szCs w:val="30"/>
        </w:rPr>
        <w:t>5</w:t>
      </w:r>
      <w:r>
        <w:rPr>
          <w:rFonts w:hint="eastAsia" w:ascii="仿宋" w:hAnsi="仿宋" w:eastAsia="仿宋"/>
          <w:b/>
          <w:snapToGrid w:val="0"/>
          <w:color w:val="auto"/>
          <w:kern w:val="0"/>
          <w:sz w:val="30"/>
          <w:szCs w:val="30"/>
        </w:rPr>
        <w:t>.采选工艺设备：</w:t>
      </w:r>
      <w:r>
        <w:rPr>
          <w:rFonts w:hint="eastAsia" w:ascii="仿宋" w:hAnsi="仿宋" w:eastAsia="仿宋"/>
          <w:snapToGrid w:val="0"/>
          <w:color w:val="auto"/>
          <w:kern w:val="0"/>
          <w:sz w:val="30"/>
          <w:szCs w:val="30"/>
        </w:rPr>
        <w:t>矿山企业目前采用的采选工艺、设备。</w:t>
      </w:r>
    </w:p>
    <w:p w14:paraId="652D7C43">
      <w:pPr>
        <w:overflowPunct w:val="0"/>
        <w:topLinePunct/>
        <w:adjustRightInd w:val="0"/>
        <w:snapToGrid w:val="0"/>
        <w:spacing w:line="360" w:lineRule="auto"/>
        <w:ind w:firstLine="602" w:firstLineChars="200"/>
        <w:rPr>
          <w:rFonts w:ascii="仿宋" w:hAnsi="仿宋" w:eastAsia="仿宋"/>
          <w:snapToGrid w:val="0"/>
          <w:color w:val="auto"/>
          <w:kern w:val="0"/>
          <w:sz w:val="30"/>
          <w:szCs w:val="30"/>
        </w:rPr>
      </w:pPr>
      <w:r>
        <w:rPr>
          <w:rFonts w:hint="eastAsia" w:ascii="仿宋" w:hAnsi="仿宋" w:eastAsia="仿宋"/>
          <w:b/>
          <w:snapToGrid w:val="0"/>
          <w:color w:val="auto"/>
          <w:kern w:val="0"/>
          <w:sz w:val="30"/>
          <w:szCs w:val="30"/>
        </w:rPr>
        <w:t>1</w:t>
      </w:r>
      <w:r>
        <w:rPr>
          <w:rFonts w:ascii="仿宋" w:hAnsi="仿宋" w:eastAsia="仿宋"/>
          <w:b/>
          <w:snapToGrid w:val="0"/>
          <w:color w:val="auto"/>
          <w:kern w:val="0"/>
          <w:sz w:val="30"/>
          <w:szCs w:val="30"/>
        </w:rPr>
        <w:t>6</w:t>
      </w:r>
      <w:r>
        <w:rPr>
          <w:rFonts w:hint="eastAsia" w:ascii="仿宋" w:hAnsi="仿宋" w:eastAsia="仿宋"/>
          <w:b/>
          <w:snapToGrid w:val="0"/>
          <w:color w:val="auto"/>
          <w:kern w:val="0"/>
          <w:sz w:val="30"/>
          <w:szCs w:val="30"/>
        </w:rPr>
        <w:t>.综合利用情况：</w:t>
      </w:r>
      <w:r>
        <w:rPr>
          <w:rFonts w:hint="eastAsia" w:ascii="仿宋" w:hAnsi="仿宋" w:eastAsia="仿宋"/>
          <w:snapToGrid w:val="0"/>
          <w:color w:val="auto"/>
          <w:kern w:val="0"/>
          <w:sz w:val="30"/>
          <w:szCs w:val="30"/>
        </w:rPr>
        <w:t>矿山企业目前的综合利用水平。</w:t>
      </w:r>
    </w:p>
    <w:p w14:paraId="71ACBF5A">
      <w:pPr>
        <w:overflowPunct w:val="0"/>
        <w:topLinePunct/>
        <w:adjustRightInd w:val="0"/>
        <w:snapToGrid w:val="0"/>
        <w:spacing w:line="360" w:lineRule="auto"/>
        <w:ind w:firstLine="602" w:firstLineChars="200"/>
        <w:rPr>
          <w:rFonts w:ascii="仿宋" w:hAnsi="仿宋" w:eastAsia="仿宋"/>
          <w:snapToGrid w:val="0"/>
          <w:color w:val="auto"/>
          <w:kern w:val="0"/>
          <w:sz w:val="30"/>
          <w:szCs w:val="30"/>
        </w:rPr>
      </w:pPr>
      <w:r>
        <w:rPr>
          <w:rFonts w:hint="eastAsia" w:ascii="仿宋" w:hAnsi="仿宋" w:eastAsia="仿宋"/>
          <w:b/>
          <w:snapToGrid w:val="0"/>
          <w:color w:val="auto"/>
          <w:kern w:val="0"/>
          <w:sz w:val="30"/>
          <w:szCs w:val="30"/>
        </w:rPr>
        <w:t>1</w:t>
      </w:r>
      <w:r>
        <w:rPr>
          <w:rFonts w:ascii="仿宋" w:hAnsi="仿宋" w:eastAsia="仿宋"/>
          <w:b/>
          <w:snapToGrid w:val="0"/>
          <w:color w:val="auto"/>
          <w:kern w:val="0"/>
          <w:sz w:val="30"/>
          <w:szCs w:val="30"/>
        </w:rPr>
        <w:t>7</w:t>
      </w:r>
      <w:r>
        <w:rPr>
          <w:rFonts w:hint="eastAsia" w:ascii="仿宋" w:hAnsi="仿宋" w:eastAsia="仿宋"/>
          <w:b/>
          <w:snapToGrid w:val="0"/>
          <w:color w:val="auto"/>
          <w:kern w:val="0"/>
          <w:sz w:val="30"/>
          <w:szCs w:val="30"/>
        </w:rPr>
        <w:t>.矿业权有偿处置情况：</w:t>
      </w:r>
      <w:r>
        <w:rPr>
          <w:rFonts w:hint="eastAsia" w:ascii="仿宋" w:hAnsi="仿宋" w:eastAsia="仿宋"/>
          <w:snapToGrid w:val="0"/>
          <w:color w:val="auto"/>
          <w:kern w:val="0"/>
          <w:sz w:val="30"/>
          <w:szCs w:val="30"/>
        </w:rPr>
        <w:t>矿业权是否已经有偿处置。</w:t>
      </w:r>
    </w:p>
    <w:p w14:paraId="5E672086">
      <w:pPr>
        <w:overflowPunct w:val="0"/>
        <w:topLinePunct/>
        <w:adjustRightInd w:val="0"/>
        <w:snapToGrid w:val="0"/>
        <w:spacing w:line="360" w:lineRule="auto"/>
        <w:ind w:firstLine="602" w:firstLineChars="200"/>
        <w:rPr>
          <w:rFonts w:ascii="仿宋" w:hAnsi="仿宋" w:eastAsia="仿宋"/>
          <w:snapToGrid w:val="0"/>
          <w:color w:val="auto"/>
          <w:kern w:val="0"/>
          <w:sz w:val="30"/>
          <w:szCs w:val="30"/>
        </w:rPr>
      </w:pPr>
      <w:r>
        <w:rPr>
          <w:rFonts w:hint="eastAsia" w:ascii="仿宋" w:hAnsi="仿宋" w:eastAsia="仿宋"/>
          <w:b/>
          <w:snapToGrid w:val="0"/>
          <w:color w:val="auto"/>
          <w:kern w:val="0"/>
          <w:sz w:val="30"/>
          <w:szCs w:val="30"/>
        </w:rPr>
        <w:t>1</w:t>
      </w:r>
      <w:r>
        <w:rPr>
          <w:rFonts w:ascii="仿宋" w:hAnsi="仿宋" w:eastAsia="仿宋"/>
          <w:b/>
          <w:snapToGrid w:val="0"/>
          <w:color w:val="auto"/>
          <w:kern w:val="0"/>
          <w:sz w:val="30"/>
          <w:szCs w:val="30"/>
        </w:rPr>
        <w:t>8</w:t>
      </w:r>
      <w:r>
        <w:rPr>
          <w:rFonts w:hint="eastAsia" w:ascii="仿宋" w:hAnsi="仿宋" w:eastAsia="仿宋"/>
          <w:b/>
          <w:snapToGrid w:val="0"/>
          <w:color w:val="auto"/>
          <w:kern w:val="0"/>
          <w:sz w:val="30"/>
          <w:szCs w:val="30"/>
        </w:rPr>
        <w:t>.矿山地质环境保护与土地复垦情况：</w:t>
      </w:r>
      <w:r>
        <w:rPr>
          <w:rFonts w:hint="eastAsia" w:ascii="仿宋" w:hAnsi="仿宋" w:eastAsia="仿宋"/>
          <w:snapToGrid w:val="0"/>
          <w:color w:val="auto"/>
          <w:kern w:val="0"/>
          <w:sz w:val="30"/>
          <w:szCs w:val="30"/>
        </w:rPr>
        <w:t>矿山</w:t>
      </w:r>
      <w:r>
        <w:rPr>
          <w:rFonts w:ascii="仿宋" w:hAnsi="仿宋" w:eastAsia="仿宋"/>
          <w:snapToGrid w:val="0"/>
          <w:color w:val="auto"/>
          <w:kern w:val="0"/>
          <w:sz w:val="30"/>
          <w:szCs w:val="30"/>
        </w:rPr>
        <w:t>企业</w:t>
      </w:r>
      <w:r>
        <w:rPr>
          <w:rFonts w:hint="eastAsia" w:ascii="仿宋" w:hAnsi="仿宋" w:eastAsia="仿宋"/>
          <w:snapToGrid w:val="0"/>
          <w:color w:val="auto"/>
          <w:kern w:val="0"/>
          <w:sz w:val="30"/>
          <w:szCs w:val="30"/>
        </w:rPr>
        <w:t>目前的地质环境保护和土地复垦情况，以及《矿山地质环境保护与土地复垦方案》的编制情况和保证金缴纳情况等。</w:t>
      </w:r>
    </w:p>
    <w:p w14:paraId="7010A6B8">
      <w:pPr>
        <w:pStyle w:val="11"/>
        <w:widowControl/>
        <w:adjustRightInd w:val="0"/>
        <w:snapToGrid w:val="0"/>
        <w:spacing w:before="0" w:beforeAutospacing="0" w:after="0" w:afterAutospacing="0" w:line="360" w:lineRule="auto"/>
        <w:ind w:firstLine="1500" w:firstLineChars="500"/>
        <w:jc w:val="both"/>
        <w:rPr>
          <w:rFonts w:ascii="仿宋" w:hAnsi="仿宋" w:eastAsia="仿宋" w:cs="宋体"/>
          <w:color w:val="auto"/>
          <w:sz w:val="30"/>
          <w:szCs w:val="30"/>
        </w:rPr>
      </w:pPr>
      <w:r>
        <w:rPr>
          <w:rFonts w:ascii="仿宋" w:hAnsi="仿宋" w:eastAsia="仿宋" w:cs="宋体"/>
          <w:color w:val="auto"/>
          <w:sz w:val="30"/>
          <w:szCs w:val="30"/>
        </w:rPr>
        <w:br w:type="page"/>
      </w:r>
    </w:p>
    <w:p w14:paraId="724174BE">
      <w:pPr>
        <w:adjustRightInd w:val="0"/>
        <w:snapToGrid w:val="0"/>
        <w:spacing w:line="560" w:lineRule="exact"/>
        <w:rPr>
          <w:rFonts w:ascii="Times New Roman" w:hAnsi="Times New Roman" w:eastAsia="黑体"/>
          <w:color w:val="auto"/>
          <w:sz w:val="32"/>
        </w:rPr>
      </w:pPr>
      <w:r>
        <w:rPr>
          <w:rFonts w:hint="eastAsia" w:ascii="Times New Roman" w:hAnsi="Times New Roman" w:eastAsia="黑体"/>
          <w:color w:val="auto"/>
          <w:sz w:val="32"/>
        </w:rPr>
        <w:t>附件2</w:t>
      </w:r>
      <w:r>
        <w:rPr>
          <w:rFonts w:ascii="Times New Roman" w:hAnsi="Times New Roman" w:eastAsia="黑体"/>
          <w:color w:val="auto"/>
          <w:sz w:val="32"/>
        </w:rPr>
        <w:t>-</w:t>
      </w:r>
      <w:r>
        <w:rPr>
          <w:rFonts w:hint="eastAsia" w:ascii="Times New Roman" w:hAnsi="Times New Roman" w:eastAsia="黑体"/>
          <w:color w:val="auto"/>
          <w:sz w:val="32"/>
        </w:rPr>
        <w:t>3</w:t>
      </w:r>
    </w:p>
    <w:p w14:paraId="3BACEBF4">
      <w:pPr>
        <w:spacing w:before="312" w:beforeLines="100" w:after="312" w:afterLines="100"/>
        <w:jc w:val="center"/>
        <w:rPr>
          <w:rFonts w:ascii="宋体" w:hAnsi="宋体" w:eastAsia="宋体" w:cs="宋体"/>
          <w:b/>
          <w:color w:val="auto"/>
          <w:sz w:val="44"/>
          <w:szCs w:val="44"/>
        </w:rPr>
      </w:pPr>
      <w:r>
        <w:rPr>
          <w:rFonts w:hint="eastAsia" w:ascii="宋体" w:hAnsi="宋体" w:eastAsia="宋体" w:cs="宋体"/>
          <w:b/>
          <w:color w:val="auto"/>
          <w:sz w:val="44"/>
          <w:szCs w:val="44"/>
        </w:rPr>
        <w:t>辽宁省绿色矿山创建库管理与入库指南</w:t>
      </w:r>
    </w:p>
    <w:p w14:paraId="0ED6AAE9">
      <w:pPr>
        <w:ind w:firstLine="640" w:firstLineChars="200"/>
        <w:rPr>
          <w:rFonts w:ascii="仿宋" w:hAnsi="仿宋" w:eastAsia="仿宋"/>
          <w:color w:val="auto"/>
          <w:sz w:val="32"/>
          <w:szCs w:val="32"/>
        </w:rPr>
      </w:pPr>
      <w:r>
        <w:rPr>
          <w:rFonts w:hint="eastAsia" w:ascii="仿宋" w:hAnsi="仿宋" w:eastAsia="仿宋"/>
          <w:color w:val="auto"/>
          <w:sz w:val="32"/>
          <w:szCs w:val="32"/>
        </w:rPr>
        <w:t>按照《关于持续推进绿色矿山的通知》要求，</w:t>
      </w:r>
      <w:r>
        <w:rPr>
          <w:rFonts w:ascii="仿宋" w:hAnsi="仿宋" w:eastAsia="仿宋"/>
          <w:color w:val="auto"/>
          <w:sz w:val="32"/>
          <w:szCs w:val="32"/>
        </w:rPr>
        <w:t>做好</w:t>
      </w:r>
      <w:r>
        <w:rPr>
          <w:rFonts w:hint="eastAsia" w:ascii="仿宋" w:hAnsi="仿宋" w:eastAsia="仿宋"/>
          <w:color w:val="auto"/>
          <w:sz w:val="32"/>
          <w:szCs w:val="32"/>
        </w:rPr>
        <w:t>辽宁省绿色矿山创建</w:t>
      </w:r>
      <w:r>
        <w:rPr>
          <w:rFonts w:ascii="仿宋" w:hAnsi="仿宋" w:eastAsia="仿宋"/>
          <w:color w:val="auto"/>
          <w:sz w:val="32"/>
          <w:szCs w:val="32"/>
        </w:rPr>
        <w:t>库</w:t>
      </w:r>
      <w:r>
        <w:rPr>
          <w:rFonts w:hint="eastAsia" w:ascii="仿宋" w:hAnsi="仿宋" w:eastAsia="仿宋"/>
          <w:color w:val="auto"/>
          <w:sz w:val="32"/>
          <w:szCs w:val="32"/>
        </w:rPr>
        <w:t>（以下称“创建库”）的申报、入库、管理等工作</w:t>
      </w:r>
      <w:r>
        <w:rPr>
          <w:rFonts w:ascii="仿宋" w:hAnsi="仿宋" w:eastAsia="仿宋"/>
          <w:color w:val="auto"/>
          <w:sz w:val="32"/>
          <w:szCs w:val="32"/>
        </w:rPr>
        <w:t>，制定本指南。</w:t>
      </w:r>
    </w:p>
    <w:p w14:paraId="766E9EE5">
      <w:pPr>
        <w:ind w:firstLine="640" w:firstLineChars="200"/>
        <w:rPr>
          <w:rFonts w:ascii="黑体" w:hAnsi="黑体" w:eastAsia="黑体"/>
          <w:color w:val="auto"/>
          <w:sz w:val="32"/>
          <w:szCs w:val="32"/>
        </w:rPr>
      </w:pPr>
      <w:r>
        <w:rPr>
          <w:rFonts w:hint="eastAsia" w:ascii="黑体" w:hAnsi="黑体" w:eastAsia="黑体"/>
          <w:color w:val="auto"/>
          <w:sz w:val="32"/>
          <w:szCs w:val="32"/>
        </w:rPr>
        <w:t>一、申报</w:t>
      </w:r>
    </w:p>
    <w:p w14:paraId="1230EB3C">
      <w:pPr>
        <w:ind w:firstLine="640" w:firstLineChars="200"/>
        <w:rPr>
          <w:rFonts w:ascii="仿宋" w:hAnsi="仿宋" w:eastAsia="仿宋"/>
          <w:color w:val="auto"/>
          <w:sz w:val="32"/>
          <w:szCs w:val="32"/>
        </w:rPr>
      </w:pPr>
      <w:r>
        <w:rPr>
          <w:rFonts w:hint="eastAsia" w:ascii="楷体_GB2312" w:hAnsi="仿宋" w:eastAsia="楷体_GB2312"/>
          <w:color w:val="auto"/>
          <w:sz w:val="32"/>
          <w:szCs w:val="32"/>
        </w:rPr>
        <w:t>（一）申报要求。</w:t>
      </w:r>
      <w:r>
        <w:rPr>
          <w:rFonts w:hint="eastAsia" w:ascii="仿宋" w:hAnsi="仿宋" w:eastAsia="仿宋"/>
          <w:color w:val="auto"/>
          <w:sz w:val="32"/>
          <w:szCs w:val="32"/>
        </w:rPr>
        <w:t>持有有效采矿许可证的独立矿山，近三年内未受到自然资源和生态环境等部门行政处罚，且采矿权人未被列入异常名录。</w:t>
      </w:r>
    </w:p>
    <w:p w14:paraId="0C09019D">
      <w:pPr>
        <w:ind w:firstLine="640" w:firstLineChars="200"/>
        <w:rPr>
          <w:rFonts w:ascii="仿宋" w:hAnsi="仿宋" w:eastAsia="仿宋"/>
          <w:color w:val="auto"/>
          <w:sz w:val="32"/>
          <w:szCs w:val="32"/>
        </w:rPr>
      </w:pPr>
      <w:r>
        <w:rPr>
          <w:rFonts w:hint="eastAsia" w:ascii="楷体_GB2312" w:hAnsi="仿宋" w:eastAsia="楷体_GB2312"/>
          <w:color w:val="auto"/>
          <w:sz w:val="32"/>
          <w:szCs w:val="32"/>
        </w:rPr>
        <w:t>（二）申报流程。</w:t>
      </w:r>
      <w:r>
        <w:rPr>
          <w:rFonts w:hint="eastAsia" w:ascii="仿宋" w:hAnsi="仿宋" w:eastAsia="仿宋"/>
          <w:color w:val="auto"/>
          <w:sz w:val="32"/>
          <w:szCs w:val="32"/>
        </w:rPr>
        <w:t>新立矿山企业在申请办理采矿许可证前，</w:t>
      </w:r>
      <w:r>
        <w:rPr>
          <w:rFonts w:ascii="仿宋" w:hAnsi="仿宋" w:eastAsia="仿宋"/>
          <w:color w:val="auto"/>
          <w:sz w:val="32"/>
          <w:szCs w:val="32"/>
        </w:rPr>
        <w:t>编制完成绿色矿山</w:t>
      </w:r>
      <w:r>
        <w:rPr>
          <w:rFonts w:hint="eastAsia" w:ascii="仿宋" w:hAnsi="仿宋" w:eastAsia="仿宋"/>
          <w:color w:val="auto"/>
          <w:sz w:val="32"/>
          <w:szCs w:val="32"/>
        </w:rPr>
        <w:t>建设</w:t>
      </w:r>
      <w:r>
        <w:rPr>
          <w:rFonts w:ascii="仿宋" w:hAnsi="仿宋" w:eastAsia="仿宋"/>
          <w:color w:val="auto"/>
          <w:sz w:val="32"/>
          <w:szCs w:val="32"/>
        </w:rPr>
        <w:t>规划</w:t>
      </w:r>
      <w:r>
        <w:rPr>
          <w:rFonts w:hint="eastAsia" w:ascii="仿宋" w:hAnsi="仿宋" w:eastAsia="仿宋"/>
          <w:color w:val="auto"/>
          <w:sz w:val="32"/>
          <w:szCs w:val="32"/>
        </w:rPr>
        <w:t>，</w:t>
      </w:r>
      <w:r>
        <w:rPr>
          <w:rFonts w:ascii="仿宋" w:hAnsi="仿宋" w:eastAsia="仿宋"/>
          <w:color w:val="auto"/>
          <w:sz w:val="32"/>
          <w:szCs w:val="32"/>
        </w:rPr>
        <w:t>办理采矿权证</w:t>
      </w:r>
      <w:r>
        <w:rPr>
          <w:rFonts w:hint="eastAsia" w:ascii="仿宋" w:hAnsi="仿宋" w:eastAsia="仿宋"/>
          <w:color w:val="auto"/>
          <w:sz w:val="32"/>
          <w:szCs w:val="32"/>
        </w:rPr>
        <w:t>后</w:t>
      </w:r>
      <w:r>
        <w:rPr>
          <w:rFonts w:ascii="仿宋" w:hAnsi="仿宋" w:eastAsia="仿宋"/>
          <w:color w:val="auto"/>
          <w:sz w:val="32"/>
          <w:szCs w:val="32"/>
        </w:rPr>
        <w:t>，</w:t>
      </w:r>
      <w:r>
        <w:rPr>
          <w:rFonts w:hint="eastAsia" w:ascii="仿宋" w:hAnsi="仿宋" w:eastAsia="仿宋"/>
          <w:color w:val="auto"/>
          <w:sz w:val="32"/>
          <w:szCs w:val="32"/>
        </w:rPr>
        <w:t>填写</w:t>
      </w:r>
      <w:r>
        <w:rPr>
          <w:rFonts w:ascii="仿宋" w:hAnsi="仿宋" w:eastAsia="仿宋"/>
          <w:color w:val="auto"/>
          <w:sz w:val="32"/>
          <w:szCs w:val="32"/>
        </w:rPr>
        <w:t>辽宁省绿色矿山</w:t>
      </w:r>
      <w:r>
        <w:rPr>
          <w:rFonts w:hint="eastAsia" w:ascii="仿宋" w:hAnsi="仿宋" w:eastAsia="仿宋"/>
          <w:color w:val="auto"/>
          <w:sz w:val="32"/>
          <w:szCs w:val="32"/>
        </w:rPr>
        <w:t>建设</w:t>
      </w:r>
      <w:r>
        <w:rPr>
          <w:rFonts w:ascii="仿宋" w:hAnsi="仿宋" w:eastAsia="仿宋"/>
          <w:color w:val="auto"/>
          <w:sz w:val="32"/>
          <w:szCs w:val="32"/>
        </w:rPr>
        <w:t>申报表上报至县级自然资源主管部门</w:t>
      </w:r>
      <w:r>
        <w:rPr>
          <w:rFonts w:hint="eastAsia" w:ascii="仿宋" w:hAnsi="仿宋" w:eastAsia="仿宋"/>
          <w:color w:val="auto"/>
          <w:sz w:val="32"/>
          <w:szCs w:val="32"/>
        </w:rPr>
        <w:t>；</w:t>
      </w:r>
      <w:r>
        <w:rPr>
          <w:rFonts w:ascii="仿宋" w:hAnsi="仿宋" w:eastAsia="仿宋"/>
          <w:color w:val="auto"/>
          <w:sz w:val="32"/>
          <w:szCs w:val="32"/>
        </w:rPr>
        <w:t xml:space="preserve"> </w:t>
      </w:r>
      <w:r>
        <w:rPr>
          <w:rFonts w:hint="eastAsia" w:ascii="仿宋" w:hAnsi="仿宋" w:eastAsia="仿宋"/>
          <w:color w:val="auto"/>
          <w:sz w:val="32"/>
          <w:szCs w:val="32"/>
        </w:rPr>
        <w:t>生产矿山</w:t>
      </w:r>
      <w:r>
        <w:rPr>
          <w:rFonts w:ascii="仿宋" w:hAnsi="仿宋" w:eastAsia="仿宋"/>
          <w:color w:val="auto"/>
          <w:sz w:val="32"/>
          <w:szCs w:val="32"/>
        </w:rPr>
        <w:t>编制完成绿色矿山</w:t>
      </w:r>
      <w:r>
        <w:rPr>
          <w:rFonts w:hint="eastAsia" w:ascii="仿宋" w:hAnsi="仿宋" w:eastAsia="仿宋"/>
          <w:color w:val="auto"/>
          <w:sz w:val="32"/>
          <w:szCs w:val="32"/>
        </w:rPr>
        <w:t>建设</w:t>
      </w:r>
      <w:r>
        <w:rPr>
          <w:rFonts w:ascii="仿宋" w:hAnsi="仿宋" w:eastAsia="仿宋"/>
          <w:color w:val="auto"/>
          <w:sz w:val="32"/>
          <w:szCs w:val="32"/>
        </w:rPr>
        <w:t>规划</w:t>
      </w:r>
      <w:r>
        <w:rPr>
          <w:rFonts w:hint="eastAsia" w:ascii="仿宋" w:hAnsi="仿宋" w:eastAsia="仿宋"/>
          <w:color w:val="auto"/>
          <w:sz w:val="32"/>
          <w:szCs w:val="32"/>
        </w:rPr>
        <w:t>后，填写</w:t>
      </w:r>
      <w:r>
        <w:rPr>
          <w:rFonts w:ascii="仿宋" w:hAnsi="仿宋" w:eastAsia="仿宋"/>
          <w:color w:val="auto"/>
          <w:sz w:val="32"/>
          <w:szCs w:val="32"/>
        </w:rPr>
        <w:t>辽宁省绿色矿山</w:t>
      </w:r>
      <w:r>
        <w:rPr>
          <w:rFonts w:hint="eastAsia" w:ascii="仿宋" w:hAnsi="仿宋" w:eastAsia="仿宋"/>
          <w:color w:val="auto"/>
          <w:sz w:val="32"/>
          <w:szCs w:val="32"/>
        </w:rPr>
        <w:t>建设</w:t>
      </w:r>
      <w:r>
        <w:rPr>
          <w:rFonts w:ascii="仿宋" w:hAnsi="仿宋" w:eastAsia="仿宋"/>
          <w:color w:val="auto"/>
          <w:sz w:val="32"/>
          <w:szCs w:val="32"/>
        </w:rPr>
        <w:t>申报表上报至县级自然资源主管部门</w:t>
      </w:r>
      <w:r>
        <w:rPr>
          <w:rFonts w:hint="eastAsia" w:ascii="仿宋" w:hAnsi="仿宋" w:eastAsia="仿宋"/>
          <w:color w:val="auto"/>
          <w:sz w:val="32"/>
          <w:szCs w:val="32"/>
        </w:rPr>
        <w:t>。</w:t>
      </w:r>
    </w:p>
    <w:p w14:paraId="543C03C4">
      <w:pPr>
        <w:ind w:firstLine="640" w:firstLineChars="200"/>
        <w:rPr>
          <w:rFonts w:ascii="仿宋" w:hAnsi="仿宋" w:eastAsia="仿宋"/>
          <w:color w:val="auto"/>
          <w:sz w:val="32"/>
          <w:szCs w:val="32"/>
        </w:rPr>
      </w:pPr>
      <w:r>
        <w:rPr>
          <w:rFonts w:hint="eastAsia" w:ascii="仿宋" w:hAnsi="仿宋" w:eastAsia="仿宋"/>
          <w:color w:val="auto"/>
          <w:sz w:val="32"/>
          <w:szCs w:val="32"/>
        </w:rPr>
        <w:t>申报材料包括：绿色矿山建设申报表、绿色矿山建设规划、其他相关材料。</w:t>
      </w:r>
    </w:p>
    <w:p w14:paraId="016FB7C7">
      <w:pPr>
        <w:ind w:firstLine="640" w:firstLineChars="200"/>
        <w:rPr>
          <w:rFonts w:ascii="黑体" w:hAnsi="黑体" w:eastAsia="黑体"/>
          <w:color w:val="auto"/>
          <w:sz w:val="32"/>
          <w:szCs w:val="32"/>
        </w:rPr>
      </w:pPr>
      <w:r>
        <w:rPr>
          <w:rFonts w:hint="eastAsia" w:ascii="黑体" w:hAnsi="黑体" w:eastAsia="黑体"/>
          <w:color w:val="auto"/>
          <w:sz w:val="32"/>
          <w:szCs w:val="32"/>
        </w:rPr>
        <w:t>二、审核</w:t>
      </w:r>
    </w:p>
    <w:p w14:paraId="1D0ACF03">
      <w:pPr>
        <w:ind w:firstLine="640" w:firstLineChars="200"/>
        <w:rPr>
          <w:rFonts w:ascii="仿宋" w:hAnsi="仿宋" w:eastAsia="仿宋"/>
          <w:color w:val="auto"/>
          <w:sz w:val="32"/>
          <w:szCs w:val="32"/>
        </w:rPr>
      </w:pPr>
      <w:r>
        <w:rPr>
          <w:rFonts w:hint="eastAsia" w:ascii="楷体_GB2312" w:hAnsi="仿宋" w:eastAsia="楷体_GB2312"/>
          <w:color w:val="auto"/>
          <w:sz w:val="32"/>
          <w:szCs w:val="32"/>
        </w:rPr>
        <w:t>（一）受理。</w:t>
      </w:r>
      <w:r>
        <w:rPr>
          <w:rFonts w:hint="eastAsia" w:ascii="仿宋" w:hAnsi="仿宋" w:eastAsia="仿宋"/>
          <w:color w:val="auto"/>
          <w:sz w:val="32"/>
          <w:szCs w:val="32"/>
        </w:rPr>
        <w:t>县级自然资源主管部门收到矿山</w:t>
      </w:r>
      <w:r>
        <w:rPr>
          <w:rFonts w:ascii="仿宋" w:hAnsi="仿宋" w:eastAsia="仿宋"/>
          <w:color w:val="auto"/>
          <w:sz w:val="32"/>
          <w:szCs w:val="32"/>
        </w:rPr>
        <w:t>企业</w:t>
      </w:r>
      <w:r>
        <w:rPr>
          <w:rFonts w:hint="eastAsia" w:ascii="仿宋" w:hAnsi="仿宋" w:eastAsia="仿宋"/>
          <w:color w:val="auto"/>
          <w:sz w:val="32"/>
          <w:szCs w:val="32"/>
        </w:rPr>
        <w:t>绿色矿山建设</w:t>
      </w:r>
      <w:r>
        <w:rPr>
          <w:rFonts w:ascii="仿宋" w:hAnsi="仿宋" w:eastAsia="仿宋"/>
          <w:color w:val="auto"/>
          <w:sz w:val="32"/>
          <w:szCs w:val="32"/>
        </w:rPr>
        <w:t>申报</w:t>
      </w:r>
      <w:r>
        <w:rPr>
          <w:rFonts w:hint="eastAsia" w:ascii="仿宋" w:hAnsi="仿宋" w:eastAsia="仿宋"/>
          <w:color w:val="auto"/>
          <w:sz w:val="32"/>
          <w:szCs w:val="32"/>
        </w:rPr>
        <w:t>材料</w:t>
      </w:r>
      <w:r>
        <w:rPr>
          <w:rFonts w:ascii="仿宋" w:hAnsi="仿宋" w:eastAsia="仿宋"/>
          <w:color w:val="auto"/>
          <w:sz w:val="32"/>
          <w:szCs w:val="32"/>
        </w:rPr>
        <w:t>后，</w:t>
      </w:r>
      <w:r>
        <w:rPr>
          <w:rFonts w:hint="eastAsia" w:ascii="仿宋" w:hAnsi="仿宋" w:eastAsia="仿宋"/>
          <w:color w:val="auto"/>
          <w:sz w:val="32"/>
          <w:szCs w:val="32"/>
        </w:rPr>
        <w:t>20日</w:t>
      </w:r>
      <w:r>
        <w:rPr>
          <w:rFonts w:ascii="仿宋" w:hAnsi="仿宋" w:eastAsia="仿宋"/>
          <w:color w:val="auto"/>
          <w:sz w:val="32"/>
          <w:szCs w:val="32"/>
        </w:rPr>
        <w:t>内</w:t>
      </w:r>
      <w:r>
        <w:rPr>
          <w:rFonts w:hint="eastAsia" w:ascii="仿宋" w:hAnsi="仿宋" w:eastAsia="仿宋"/>
          <w:color w:val="auto"/>
          <w:sz w:val="32"/>
          <w:szCs w:val="32"/>
        </w:rPr>
        <w:t>提出初审意见</w:t>
      </w:r>
      <w:r>
        <w:rPr>
          <w:rFonts w:ascii="仿宋" w:hAnsi="仿宋" w:eastAsia="仿宋"/>
          <w:color w:val="auto"/>
          <w:sz w:val="32"/>
          <w:szCs w:val="32"/>
        </w:rPr>
        <w:t>上报至市级自然资源主管部门</w:t>
      </w:r>
      <w:r>
        <w:rPr>
          <w:rFonts w:hint="eastAsia" w:ascii="仿宋" w:hAnsi="仿宋" w:eastAsia="仿宋"/>
          <w:color w:val="auto"/>
          <w:sz w:val="32"/>
          <w:szCs w:val="32"/>
        </w:rPr>
        <w:t>。</w:t>
      </w:r>
    </w:p>
    <w:p w14:paraId="6A0BFD06">
      <w:pPr>
        <w:ind w:firstLine="640" w:firstLineChars="200"/>
        <w:rPr>
          <w:rFonts w:ascii="仿宋" w:hAnsi="仿宋" w:eastAsia="仿宋"/>
          <w:color w:val="auto"/>
          <w:sz w:val="32"/>
          <w:szCs w:val="32"/>
        </w:rPr>
      </w:pPr>
      <w:r>
        <w:rPr>
          <w:rFonts w:ascii="楷体_GB2312" w:hAnsi="仿宋" w:eastAsia="楷体_GB2312"/>
          <w:color w:val="auto"/>
          <w:sz w:val="32"/>
          <w:szCs w:val="32"/>
        </w:rPr>
        <w:t>（</w:t>
      </w:r>
      <w:r>
        <w:rPr>
          <w:rFonts w:hint="eastAsia" w:ascii="楷体_GB2312" w:hAnsi="仿宋" w:eastAsia="楷体_GB2312"/>
          <w:color w:val="auto"/>
          <w:sz w:val="32"/>
          <w:szCs w:val="32"/>
        </w:rPr>
        <w:t>二</w:t>
      </w:r>
      <w:r>
        <w:rPr>
          <w:rFonts w:ascii="楷体_GB2312" w:hAnsi="仿宋" w:eastAsia="楷体_GB2312"/>
          <w:color w:val="auto"/>
          <w:sz w:val="32"/>
          <w:szCs w:val="32"/>
        </w:rPr>
        <w:t>）</w:t>
      </w:r>
      <w:r>
        <w:rPr>
          <w:rFonts w:hint="eastAsia" w:ascii="楷体_GB2312" w:hAnsi="仿宋" w:eastAsia="楷体_GB2312"/>
          <w:color w:val="auto"/>
          <w:sz w:val="32"/>
          <w:szCs w:val="32"/>
        </w:rPr>
        <w:t>审查。</w:t>
      </w:r>
      <w:r>
        <w:rPr>
          <w:rFonts w:hint="eastAsia" w:ascii="仿宋" w:hAnsi="仿宋" w:eastAsia="仿宋"/>
          <w:color w:val="auto"/>
          <w:sz w:val="32"/>
          <w:szCs w:val="32"/>
        </w:rPr>
        <w:t>市级</w:t>
      </w:r>
      <w:r>
        <w:rPr>
          <w:rFonts w:ascii="仿宋" w:hAnsi="仿宋" w:eastAsia="仿宋"/>
          <w:color w:val="auto"/>
          <w:sz w:val="32"/>
          <w:szCs w:val="32"/>
        </w:rPr>
        <w:t>自然资源主管部门</w:t>
      </w:r>
      <w:r>
        <w:rPr>
          <w:rFonts w:hint="eastAsia" w:ascii="仿宋" w:hAnsi="仿宋" w:eastAsia="仿宋"/>
          <w:color w:val="auto"/>
          <w:sz w:val="32"/>
          <w:szCs w:val="32"/>
        </w:rPr>
        <w:t>在收到县级自然</w:t>
      </w:r>
      <w:r>
        <w:rPr>
          <w:rFonts w:ascii="仿宋" w:hAnsi="仿宋" w:eastAsia="仿宋"/>
          <w:color w:val="auto"/>
          <w:sz w:val="32"/>
          <w:szCs w:val="32"/>
        </w:rPr>
        <w:t>资源主管部门报送</w:t>
      </w:r>
      <w:r>
        <w:rPr>
          <w:rFonts w:hint="eastAsia" w:ascii="仿宋" w:hAnsi="仿宋" w:eastAsia="仿宋"/>
          <w:color w:val="auto"/>
          <w:sz w:val="32"/>
          <w:szCs w:val="32"/>
        </w:rPr>
        <w:t>的申报</w:t>
      </w:r>
      <w:r>
        <w:rPr>
          <w:rFonts w:ascii="仿宋" w:hAnsi="仿宋" w:eastAsia="仿宋"/>
          <w:color w:val="auto"/>
          <w:sz w:val="32"/>
          <w:szCs w:val="32"/>
        </w:rPr>
        <w:t>材料</w:t>
      </w:r>
      <w:r>
        <w:rPr>
          <w:rFonts w:hint="eastAsia" w:ascii="仿宋" w:hAnsi="仿宋" w:eastAsia="仿宋"/>
          <w:color w:val="auto"/>
          <w:sz w:val="32"/>
          <w:szCs w:val="32"/>
        </w:rPr>
        <w:t>20日内提出复核意见，</w:t>
      </w:r>
      <w:r>
        <w:rPr>
          <w:rFonts w:ascii="仿宋" w:hAnsi="仿宋" w:eastAsia="仿宋"/>
          <w:color w:val="auto"/>
          <w:sz w:val="32"/>
          <w:szCs w:val="32"/>
        </w:rPr>
        <w:t>报送</w:t>
      </w:r>
      <w:r>
        <w:rPr>
          <w:rFonts w:hint="eastAsia" w:ascii="仿宋" w:hAnsi="仿宋" w:eastAsia="仿宋"/>
          <w:color w:val="auto"/>
          <w:sz w:val="32"/>
          <w:szCs w:val="32"/>
        </w:rPr>
        <w:t>省</w:t>
      </w:r>
      <w:r>
        <w:rPr>
          <w:rFonts w:ascii="仿宋" w:hAnsi="仿宋" w:eastAsia="仿宋"/>
          <w:color w:val="auto"/>
          <w:sz w:val="32"/>
          <w:szCs w:val="32"/>
        </w:rPr>
        <w:t>自然资源厅</w:t>
      </w:r>
      <w:r>
        <w:rPr>
          <w:rFonts w:hint="eastAsia" w:ascii="仿宋" w:hAnsi="仿宋" w:eastAsia="仿宋"/>
          <w:color w:val="auto"/>
          <w:sz w:val="32"/>
          <w:szCs w:val="32"/>
        </w:rPr>
        <w:t>。</w:t>
      </w:r>
    </w:p>
    <w:p w14:paraId="3E36E5CA">
      <w:pPr>
        <w:ind w:firstLine="640" w:firstLineChars="200"/>
        <w:rPr>
          <w:rFonts w:ascii="黑体" w:hAnsi="黑体" w:eastAsia="黑体"/>
          <w:color w:val="auto"/>
          <w:sz w:val="32"/>
          <w:szCs w:val="32"/>
        </w:rPr>
      </w:pPr>
      <w:r>
        <w:rPr>
          <w:rFonts w:hint="eastAsia" w:ascii="黑体" w:hAnsi="黑体" w:eastAsia="黑体"/>
          <w:color w:val="auto"/>
          <w:sz w:val="32"/>
          <w:szCs w:val="32"/>
        </w:rPr>
        <w:t>三、监督</w:t>
      </w:r>
    </w:p>
    <w:p w14:paraId="1B91E007">
      <w:pPr>
        <w:ind w:firstLine="640" w:firstLineChars="200"/>
        <w:rPr>
          <w:rFonts w:ascii="仿宋" w:hAnsi="仿宋" w:eastAsia="仿宋"/>
          <w:color w:val="auto"/>
          <w:sz w:val="32"/>
          <w:szCs w:val="32"/>
        </w:rPr>
      </w:pPr>
      <w:r>
        <w:rPr>
          <w:rFonts w:hint="eastAsia" w:ascii="楷体_GB2312" w:hAnsi="仿宋" w:eastAsia="楷体_GB2312"/>
          <w:color w:val="auto"/>
          <w:sz w:val="32"/>
          <w:szCs w:val="32"/>
        </w:rPr>
        <w:t>（一）企业责任。</w:t>
      </w:r>
      <w:r>
        <w:rPr>
          <w:rFonts w:hint="eastAsia" w:ascii="仿宋" w:hAnsi="仿宋" w:eastAsia="仿宋"/>
          <w:color w:val="auto"/>
          <w:sz w:val="32"/>
          <w:szCs w:val="32"/>
        </w:rPr>
        <w:t>创建库</w:t>
      </w:r>
      <w:r>
        <w:rPr>
          <w:rFonts w:ascii="仿宋" w:hAnsi="仿宋" w:eastAsia="仿宋"/>
          <w:color w:val="auto"/>
          <w:sz w:val="32"/>
          <w:szCs w:val="32"/>
        </w:rPr>
        <w:t>中的</w:t>
      </w:r>
      <w:r>
        <w:rPr>
          <w:rFonts w:hint="eastAsia" w:ascii="仿宋" w:hAnsi="仿宋" w:eastAsia="仿宋"/>
          <w:color w:val="auto"/>
          <w:sz w:val="32"/>
          <w:szCs w:val="32"/>
        </w:rPr>
        <w:t>矿山企业应主动按照绿色</w:t>
      </w:r>
      <w:r>
        <w:rPr>
          <w:rFonts w:ascii="仿宋" w:hAnsi="仿宋" w:eastAsia="仿宋"/>
          <w:color w:val="auto"/>
          <w:sz w:val="32"/>
          <w:szCs w:val="32"/>
        </w:rPr>
        <w:t>矿山</w:t>
      </w:r>
      <w:r>
        <w:rPr>
          <w:rFonts w:hint="eastAsia" w:ascii="仿宋" w:hAnsi="仿宋" w:eastAsia="仿宋"/>
          <w:color w:val="auto"/>
          <w:sz w:val="32"/>
          <w:szCs w:val="32"/>
        </w:rPr>
        <w:t>建设</w:t>
      </w:r>
      <w:r>
        <w:rPr>
          <w:rFonts w:ascii="仿宋" w:hAnsi="仿宋" w:eastAsia="仿宋"/>
          <w:color w:val="auto"/>
          <w:sz w:val="32"/>
          <w:szCs w:val="32"/>
        </w:rPr>
        <w:t>规划开展工作，</w:t>
      </w:r>
      <w:r>
        <w:rPr>
          <w:rFonts w:hint="eastAsia" w:ascii="仿宋" w:hAnsi="仿宋" w:eastAsia="仿宋"/>
          <w:color w:val="auto"/>
          <w:sz w:val="32"/>
          <w:szCs w:val="32"/>
        </w:rPr>
        <w:t>统筹</w:t>
      </w:r>
      <w:r>
        <w:rPr>
          <w:rFonts w:ascii="仿宋" w:hAnsi="仿宋" w:eastAsia="仿宋"/>
          <w:color w:val="auto"/>
          <w:sz w:val="32"/>
          <w:szCs w:val="32"/>
        </w:rPr>
        <w:t>安排建设资金，</w:t>
      </w:r>
      <w:r>
        <w:rPr>
          <w:rFonts w:hint="eastAsia" w:ascii="仿宋" w:hAnsi="仿宋" w:eastAsia="仿宋"/>
          <w:color w:val="auto"/>
          <w:sz w:val="32"/>
          <w:szCs w:val="32"/>
        </w:rPr>
        <w:t>积极推进绿色矿山建设。</w:t>
      </w:r>
    </w:p>
    <w:p w14:paraId="55917BF6">
      <w:pPr>
        <w:ind w:firstLine="640" w:firstLineChars="200"/>
        <w:rPr>
          <w:color w:val="auto"/>
        </w:rPr>
      </w:pPr>
      <w:r>
        <w:rPr>
          <w:rFonts w:hint="eastAsia" w:ascii="楷体_GB2312" w:hAnsi="仿宋" w:eastAsia="楷体_GB2312"/>
          <w:color w:val="auto"/>
          <w:sz w:val="32"/>
          <w:szCs w:val="32"/>
        </w:rPr>
        <w:t>（二）部门监管。</w:t>
      </w:r>
      <w:r>
        <w:rPr>
          <w:rFonts w:hint="eastAsia" w:ascii="仿宋" w:hAnsi="仿宋" w:eastAsia="仿宋"/>
          <w:color w:val="auto"/>
          <w:sz w:val="32"/>
          <w:szCs w:val="32"/>
        </w:rPr>
        <w:t>市、县级自然资源</w:t>
      </w:r>
      <w:r>
        <w:rPr>
          <w:rFonts w:ascii="仿宋" w:hAnsi="仿宋" w:eastAsia="仿宋"/>
          <w:color w:val="auto"/>
          <w:sz w:val="32"/>
          <w:szCs w:val="32"/>
        </w:rPr>
        <w:t>主管</w:t>
      </w:r>
      <w:r>
        <w:rPr>
          <w:rFonts w:hint="eastAsia" w:ascii="仿宋" w:hAnsi="仿宋" w:eastAsia="仿宋"/>
          <w:color w:val="auto"/>
          <w:sz w:val="32"/>
          <w:szCs w:val="32"/>
        </w:rPr>
        <w:t>部门做好日常监督指导，掌握绿色矿山建设进展情况，确保</w:t>
      </w:r>
      <w:r>
        <w:rPr>
          <w:rFonts w:ascii="仿宋" w:hAnsi="仿宋" w:eastAsia="仿宋"/>
          <w:color w:val="auto"/>
          <w:sz w:val="32"/>
          <w:szCs w:val="32"/>
        </w:rPr>
        <w:t>创建库中的</w:t>
      </w:r>
      <w:r>
        <w:rPr>
          <w:rFonts w:hint="eastAsia" w:ascii="仿宋" w:hAnsi="仿宋" w:eastAsia="仿宋"/>
          <w:color w:val="auto"/>
          <w:sz w:val="32"/>
          <w:szCs w:val="32"/>
        </w:rPr>
        <w:t>矿山</w:t>
      </w:r>
      <w:r>
        <w:rPr>
          <w:rFonts w:ascii="仿宋" w:hAnsi="仿宋" w:eastAsia="仿宋"/>
          <w:color w:val="auto"/>
          <w:sz w:val="32"/>
          <w:szCs w:val="32"/>
        </w:rPr>
        <w:t>企业完成绿色矿山建设任务</w:t>
      </w:r>
      <w:r>
        <w:rPr>
          <w:rFonts w:hint="eastAsia" w:ascii="仿宋" w:hAnsi="仿宋" w:eastAsia="仿宋"/>
          <w:color w:val="auto"/>
          <w:sz w:val="32"/>
          <w:szCs w:val="32"/>
        </w:rPr>
        <w:t>。</w:t>
      </w:r>
    </w:p>
    <w:p w14:paraId="046F498A">
      <w:pPr>
        <w:pStyle w:val="11"/>
        <w:widowControl/>
        <w:adjustRightInd w:val="0"/>
        <w:snapToGrid w:val="0"/>
        <w:spacing w:before="0" w:beforeAutospacing="0" w:after="0" w:afterAutospacing="0" w:line="360" w:lineRule="auto"/>
        <w:ind w:firstLine="1500" w:firstLineChars="500"/>
        <w:jc w:val="both"/>
        <w:rPr>
          <w:rFonts w:ascii="仿宋" w:hAnsi="仿宋" w:eastAsia="仿宋" w:cs="宋体"/>
          <w:color w:val="auto"/>
          <w:sz w:val="30"/>
          <w:szCs w:val="30"/>
        </w:rPr>
      </w:pPr>
      <w:r>
        <w:rPr>
          <w:rFonts w:ascii="仿宋" w:hAnsi="仿宋" w:eastAsia="仿宋" w:cs="宋体"/>
          <w:color w:val="auto"/>
          <w:sz w:val="30"/>
          <w:szCs w:val="30"/>
        </w:rPr>
        <w:br w:type="page"/>
      </w:r>
    </w:p>
    <w:p w14:paraId="09CFCE86">
      <w:pPr>
        <w:adjustRightInd w:val="0"/>
        <w:snapToGrid w:val="0"/>
        <w:spacing w:line="560" w:lineRule="exact"/>
        <w:rPr>
          <w:rFonts w:ascii="Times New Roman" w:hAnsi="Times New Roman" w:eastAsia="黑体"/>
          <w:color w:val="auto"/>
          <w:sz w:val="32"/>
        </w:rPr>
      </w:pPr>
      <w:r>
        <w:rPr>
          <w:rFonts w:hint="eastAsia" w:ascii="Times New Roman" w:hAnsi="Times New Roman" w:eastAsia="黑体"/>
          <w:color w:val="auto"/>
          <w:sz w:val="32"/>
        </w:rPr>
        <w:t>附件2</w:t>
      </w:r>
      <w:r>
        <w:rPr>
          <w:rFonts w:ascii="Times New Roman" w:hAnsi="Times New Roman" w:eastAsia="黑体"/>
          <w:color w:val="auto"/>
          <w:sz w:val="32"/>
        </w:rPr>
        <w:t>-</w:t>
      </w:r>
      <w:r>
        <w:rPr>
          <w:rFonts w:hint="eastAsia" w:ascii="Times New Roman" w:hAnsi="Times New Roman" w:eastAsia="黑体"/>
          <w:color w:val="auto"/>
          <w:sz w:val="32"/>
        </w:rPr>
        <w:t>4</w:t>
      </w:r>
    </w:p>
    <w:p w14:paraId="104FCB90">
      <w:pPr>
        <w:overflowPunct w:val="0"/>
        <w:topLinePunct/>
        <w:adjustRightInd w:val="0"/>
        <w:snapToGrid w:val="0"/>
        <w:spacing w:line="360" w:lineRule="auto"/>
        <w:jc w:val="left"/>
        <w:rPr>
          <w:rFonts w:ascii="宋体" w:hAnsi="宋体" w:eastAsia="宋体"/>
          <w:b/>
          <w:snapToGrid w:val="0"/>
          <w:color w:val="auto"/>
          <w:kern w:val="0"/>
          <w:sz w:val="30"/>
          <w:szCs w:val="30"/>
        </w:rPr>
      </w:pPr>
    </w:p>
    <w:p w14:paraId="758E5FF2">
      <w:pPr>
        <w:overflowPunct w:val="0"/>
        <w:topLinePunct/>
        <w:adjustRightInd w:val="0"/>
        <w:snapToGrid w:val="0"/>
        <w:spacing w:line="360" w:lineRule="auto"/>
        <w:jc w:val="center"/>
        <w:rPr>
          <w:rFonts w:ascii="宋体" w:hAnsi="宋体" w:eastAsia="宋体"/>
          <w:b/>
          <w:snapToGrid w:val="0"/>
          <w:color w:val="auto"/>
          <w:kern w:val="0"/>
          <w:sz w:val="52"/>
        </w:rPr>
      </w:pPr>
    </w:p>
    <w:p w14:paraId="4B37286D">
      <w:pPr>
        <w:overflowPunct w:val="0"/>
        <w:topLinePunct/>
        <w:adjustRightInd w:val="0"/>
        <w:snapToGrid w:val="0"/>
        <w:spacing w:line="360" w:lineRule="auto"/>
        <w:jc w:val="center"/>
        <w:rPr>
          <w:rFonts w:ascii="宋体" w:hAnsi="宋体" w:eastAsia="宋体"/>
          <w:b/>
          <w:snapToGrid w:val="0"/>
          <w:color w:val="auto"/>
          <w:kern w:val="0"/>
          <w:sz w:val="52"/>
        </w:rPr>
      </w:pPr>
      <w:r>
        <w:rPr>
          <w:rFonts w:hint="eastAsia" w:ascii="宋体" w:hAnsi="宋体" w:eastAsia="宋体"/>
          <w:b/>
          <w:snapToGrid w:val="0"/>
          <w:color w:val="auto"/>
          <w:kern w:val="0"/>
          <w:sz w:val="52"/>
        </w:rPr>
        <w:t>辽宁省绿色矿山自评估</w:t>
      </w:r>
      <w:r>
        <w:rPr>
          <w:rFonts w:ascii="宋体" w:hAnsi="宋体" w:eastAsia="宋体"/>
          <w:b/>
          <w:snapToGrid w:val="0"/>
          <w:color w:val="auto"/>
          <w:kern w:val="0"/>
          <w:sz w:val="52"/>
        </w:rPr>
        <w:t>报告</w:t>
      </w:r>
    </w:p>
    <w:p w14:paraId="086957E7">
      <w:pPr>
        <w:overflowPunct w:val="0"/>
        <w:topLinePunct/>
        <w:adjustRightInd w:val="0"/>
        <w:snapToGrid w:val="0"/>
        <w:spacing w:line="360" w:lineRule="auto"/>
        <w:jc w:val="center"/>
        <w:rPr>
          <w:rFonts w:ascii="宋体" w:hAnsi="宋体" w:eastAsia="宋体"/>
          <w:b/>
          <w:bCs/>
          <w:snapToGrid w:val="0"/>
          <w:color w:val="auto"/>
          <w:kern w:val="0"/>
          <w:sz w:val="44"/>
        </w:rPr>
      </w:pPr>
    </w:p>
    <w:p w14:paraId="529FF4C5">
      <w:pPr>
        <w:overflowPunct w:val="0"/>
        <w:topLinePunct/>
        <w:adjustRightInd w:val="0"/>
        <w:snapToGrid w:val="0"/>
        <w:spacing w:line="360" w:lineRule="auto"/>
        <w:jc w:val="center"/>
        <w:rPr>
          <w:rFonts w:ascii="宋体" w:hAnsi="宋体" w:eastAsia="宋体"/>
          <w:b/>
          <w:bCs/>
          <w:snapToGrid w:val="0"/>
          <w:color w:val="auto"/>
          <w:kern w:val="0"/>
          <w:sz w:val="44"/>
        </w:rPr>
      </w:pPr>
    </w:p>
    <w:p w14:paraId="10D82BC8">
      <w:pPr>
        <w:overflowPunct w:val="0"/>
        <w:topLinePunct/>
        <w:adjustRightInd w:val="0"/>
        <w:snapToGrid w:val="0"/>
        <w:spacing w:line="360" w:lineRule="auto"/>
        <w:jc w:val="center"/>
        <w:rPr>
          <w:rFonts w:ascii="宋体" w:hAnsi="宋体" w:eastAsia="宋体"/>
          <w:b/>
          <w:bCs/>
          <w:snapToGrid w:val="0"/>
          <w:color w:val="auto"/>
          <w:kern w:val="0"/>
          <w:sz w:val="44"/>
        </w:rPr>
      </w:pPr>
    </w:p>
    <w:p w14:paraId="2E39BDE0">
      <w:pPr>
        <w:overflowPunct w:val="0"/>
        <w:topLinePunct/>
        <w:adjustRightInd w:val="0"/>
        <w:snapToGrid w:val="0"/>
        <w:spacing w:line="360" w:lineRule="auto"/>
        <w:jc w:val="center"/>
        <w:rPr>
          <w:rFonts w:ascii="宋体" w:hAnsi="宋体" w:eastAsia="宋体"/>
          <w:b/>
          <w:bCs/>
          <w:snapToGrid w:val="0"/>
          <w:color w:val="auto"/>
          <w:kern w:val="0"/>
          <w:sz w:val="44"/>
        </w:rPr>
      </w:pPr>
    </w:p>
    <w:p w14:paraId="0BEF9301">
      <w:pPr>
        <w:overflowPunct w:val="0"/>
        <w:topLinePunct/>
        <w:adjustRightInd w:val="0"/>
        <w:snapToGrid w:val="0"/>
        <w:spacing w:line="360" w:lineRule="auto"/>
        <w:jc w:val="center"/>
        <w:rPr>
          <w:rFonts w:ascii="宋体" w:hAnsi="宋体" w:eastAsia="宋体"/>
          <w:b/>
          <w:bCs/>
          <w:snapToGrid w:val="0"/>
          <w:color w:val="auto"/>
          <w:kern w:val="0"/>
          <w:sz w:val="44"/>
        </w:rPr>
      </w:pPr>
    </w:p>
    <w:p w14:paraId="7E427AE7">
      <w:pPr>
        <w:overflowPunct w:val="0"/>
        <w:topLinePunct/>
        <w:adjustRightInd w:val="0"/>
        <w:snapToGrid w:val="0"/>
        <w:spacing w:line="360" w:lineRule="auto"/>
        <w:ind w:firstLine="633" w:firstLineChars="197"/>
        <w:rPr>
          <w:rFonts w:ascii="宋体" w:hAnsi="宋体" w:eastAsia="宋体"/>
          <w:b/>
          <w:bCs/>
          <w:snapToGrid w:val="0"/>
          <w:color w:val="auto"/>
          <w:kern w:val="0"/>
          <w:sz w:val="32"/>
          <w:u w:val="single"/>
        </w:rPr>
      </w:pPr>
      <w:r>
        <w:rPr>
          <w:rFonts w:hint="eastAsia" w:ascii="宋体" w:hAnsi="宋体" w:eastAsia="宋体"/>
          <w:b/>
          <w:bCs/>
          <w:snapToGrid w:val="0"/>
          <w:color w:val="auto"/>
          <w:kern w:val="0"/>
          <w:sz w:val="32"/>
        </w:rPr>
        <w:t xml:space="preserve">矿山名称（盖章）  </w:t>
      </w:r>
      <w:r>
        <w:rPr>
          <w:rFonts w:hint="eastAsia" w:ascii="宋体" w:hAnsi="宋体" w:eastAsia="宋体"/>
          <w:b/>
          <w:bCs/>
          <w:snapToGrid w:val="0"/>
          <w:color w:val="auto"/>
          <w:kern w:val="0"/>
          <w:sz w:val="32"/>
          <w:u w:val="single"/>
        </w:rPr>
        <w:t xml:space="preserve">                        </w:t>
      </w:r>
      <w:r>
        <w:rPr>
          <w:rFonts w:ascii="宋体" w:hAnsi="宋体" w:eastAsia="宋体"/>
          <w:b/>
          <w:bCs/>
          <w:snapToGrid w:val="0"/>
          <w:color w:val="auto"/>
          <w:kern w:val="0"/>
          <w:sz w:val="32"/>
          <w:u w:val="single"/>
        </w:rPr>
        <w:t xml:space="preserve">   </w:t>
      </w:r>
      <w:r>
        <w:rPr>
          <w:rFonts w:ascii="宋体" w:hAnsi="宋体" w:eastAsia="宋体"/>
          <w:b/>
          <w:bCs/>
          <w:snapToGrid w:val="0"/>
          <w:color w:val="auto"/>
          <w:kern w:val="0"/>
          <w:sz w:val="32"/>
        </w:rPr>
        <w:t xml:space="preserve"> </w:t>
      </w:r>
    </w:p>
    <w:p w14:paraId="658BC932">
      <w:pPr>
        <w:overflowPunct w:val="0"/>
        <w:topLinePunct/>
        <w:adjustRightInd w:val="0"/>
        <w:snapToGrid w:val="0"/>
        <w:spacing w:line="360" w:lineRule="auto"/>
        <w:ind w:firstLine="590" w:firstLineChars="147"/>
        <w:rPr>
          <w:rFonts w:ascii="宋体" w:hAnsi="宋体" w:eastAsia="宋体"/>
          <w:b/>
          <w:bCs/>
          <w:snapToGrid w:val="0"/>
          <w:color w:val="auto"/>
          <w:spacing w:val="40"/>
          <w:kern w:val="0"/>
          <w:sz w:val="32"/>
        </w:rPr>
      </w:pPr>
      <w:r>
        <w:rPr>
          <w:rFonts w:hint="eastAsia" w:ascii="宋体" w:hAnsi="宋体" w:eastAsia="宋体"/>
          <w:b/>
          <w:bCs/>
          <w:snapToGrid w:val="0"/>
          <w:color w:val="auto"/>
          <w:spacing w:val="40"/>
          <w:kern w:val="0"/>
          <w:sz w:val="32"/>
        </w:rPr>
        <w:t>采矿许可证</w:t>
      </w:r>
      <w:r>
        <w:rPr>
          <w:rFonts w:ascii="宋体" w:hAnsi="宋体" w:eastAsia="宋体"/>
          <w:b/>
          <w:bCs/>
          <w:snapToGrid w:val="0"/>
          <w:color w:val="auto"/>
          <w:spacing w:val="40"/>
          <w:kern w:val="0"/>
          <w:sz w:val="32"/>
        </w:rPr>
        <w:t>号</w:t>
      </w:r>
      <w:r>
        <w:rPr>
          <w:rFonts w:hint="eastAsia" w:ascii="宋体" w:hAnsi="宋体" w:eastAsia="宋体"/>
          <w:b/>
          <w:bCs/>
          <w:snapToGrid w:val="0"/>
          <w:color w:val="auto"/>
          <w:spacing w:val="40"/>
          <w:kern w:val="0"/>
          <w:sz w:val="32"/>
        </w:rPr>
        <w:t xml:space="preserve"> </w:t>
      </w:r>
      <w:r>
        <w:rPr>
          <w:rFonts w:ascii="宋体" w:hAnsi="宋体" w:eastAsia="宋体"/>
          <w:b/>
          <w:bCs/>
          <w:snapToGrid w:val="0"/>
          <w:color w:val="auto"/>
          <w:spacing w:val="40"/>
          <w:kern w:val="0"/>
          <w:sz w:val="32"/>
        </w:rPr>
        <w:t xml:space="preserve"> </w:t>
      </w:r>
      <w:r>
        <w:rPr>
          <w:rFonts w:ascii="宋体" w:hAnsi="宋体" w:eastAsia="宋体"/>
          <w:b/>
          <w:bCs/>
          <w:snapToGrid w:val="0"/>
          <w:color w:val="auto"/>
          <w:spacing w:val="40"/>
          <w:kern w:val="0"/>
          <w:sz w:val="32"/>
          <w:u w:val="single"/>
        </w:rPr>
        <w:t xml:space="preserve">                  </w:t>
      </w:r>
      <w:r>
        <w:rPr>
          <w:rFonts w:ascii="宋体" w:hAnsi="宋体" w:eastAsia="宋体"/>
          <w:b/>
          <w:bCs/>
          <w:snapToGrid w:val="0"/>
          <w:color w:val="auto"/>
          <w:spacing w:val="40"/>
          <w:kern w:val="0"/>
          <w:sz w:val="32"/>
        </w:rPr>
        <w:t xml:space="preserve">    </w:t>
      </w:r>
      <w:r>
        <w:rPr>
          <w:rFonts w:ascii="宋体" w:hAnsi="宋体" w:eastAsia="宋体"/>
          <w:b/>
          <w:bCs/>
          <w:snapToGrid w:val="0"/>
          <w:color w:val="auto"/>
          <w:spacing w:val="40"/>
          <w:kern w:val="0"/>
          <w:sz w:val="32"/>
          <w:u w:val="single"/>
        </w:rPr>
        <w:t xml:space="preserve">  </w:t>
      </w:r>
      <w:r>
        <w:rPr>
          <w:rFonts w:hint="eastAsia" w:ascii="宋体" w:hAnsi="宋体" w:eastAsia="宋体"/>
          <w:b/>
          <w:bCs/>
          <w:snapToGrid w:val="0"/>
          <w:color w:val="auto"/>
          <w:spacing w:val="40"/>
          <w:kern w:val="0"/>
          <w:sz w:val="32"/>
        </w:rPr>
        <w:t xml:space="preserve">                                 </w:t>
      </w:r>
    </w:p>
    <w:p w14:paraId="4D23C851">
      <w:pPr>
        <w:overflowPunct w:val="0"/>
        <w:topLinePunct/>
        <w:adjustRightInd w:val="0"/>
        <w:snapToGrid w:val="0"/>
        <w:spacing w:line="360" w:lineRule="auto"/>
        <w:ind w:firstLine="531" w:firstLineChars="147"/>
        <w:rPr>
          <w:rFonts w:ascii="宋体" w:hAnsi="宋体" w:eastAsia="宋体"/>
          <w:b/>
          <w:bCs/>
          <w:snapToGrid w:val="0"/>
          <w:color w:val="auto"/>
          <w:spacing w:val="20"/>
          <w:kern w:val="0"/>
          <w:sz w:val="32"/>
        </w:rPr>
      </w:pPr>
      <w:r>
        <w:rPr>
          <w:rFonts w:hint="eastAsia" w:ascii="宋体" w:hAnsi="宋体" w:eastAsia="宋体"/>
          <w:b/>
          <w:bCs/>
          <w:snapToGrid w:val="0"/>
          <w:color w:val="auto"/>
          <w:spacing w:val="20"/>
          <w:kern w:val="0"/>
          <w:sz w:val="32"/>
        </w:rPr>
        <w:t xml:space="preserve">采 </w:t>
      </w:r>
      <w:r>
        <w:rPr>
          <w:rFonts w:ascii="宋体" w:hAnsi="宋体" w:eastAsia="宋体"/>
          <w:b/>
          <w:bCs/>
          <w:snapToGrid w:val="0"/>
          <w:color w:val="auto"/>
          <w:spacing w:val="20"/>
          <w:kern w:val="0"/>
          <w:sz w:val="32"/>
        </w:rPr>
        <w:t xml:space="preserve"> </w:t>
      </w:r>
      <w:r>
        <w:rPr>
          <w:rFonts w:hint="eastAsia" w:ascii="宋体" w:hAnsi="宋体" w:eastAsia="宋体"/>
          <w:b/>
          <w:bCs/>
          <w:snapToGrid w:val="0"/>
          <w:color w:val="auto"/>
          <w:spacing w:val="20"/>
          <w:kern w:val="0"/>
          <w:sz w:val="32"/>
        </w:rPr>
        <w:t xml:space="preserve">矿  </w:t>
      </w:r>
      <w:r>
        <w:rPr>
          <w:rFonts w:ascii="宋体" w:hAnsi="宋体" w:eastAsia="宋体"/>
          <w:b/>
          <w:bCs/>
          <w:snapToGrid w:val="0"/>
          <w:color w:val="auto"/>
          <w:spacing w:val="20"/>
          <w:kern w:val="0"/>
          <w:sz w:val="32"/>
        </w:rPr>
        <w:t>权</w:t>
      </w:r>
      <w:r>
        <w:rPr>
          <w:rFonts w:hint="eastAsia" w:ascii="宋体" w:hAnsi="宋体" w:eastAsia="宋体"/>
          <w:b/>
          <w:bCs/>
          <w:snapToGrid w:val="0"/>
          <w:color w:val="auto"/>
          <w:spacing w:val="20"/>
          <w:kern w:val="0"/>
          <w:sz w:val="32"/>
        </w:rPr>
        <w:t xml:space="preserve">  </w:t>
      </w:r>
      <w:r>
        <w:rPr>
          <w:rFonts w:ascii="宋体" w:hAnsi="宋体" w:eastAsia="宋体"/>
          <w:b/>
          <w:bCs/>
          <w:snapToGrid w:val="0"/>
          <w:color w:val="auto"/>
          <w:spacing w:val="20"/>
          <w:kern w:val="0"/>
          <w:sz w:val="32"/>
        </w:rPr>
        <w:t>人</w:t>
      </w:r>
      <w:r>
        <w:rPr>
          <w:rFonts w:hint="eastAsia" w:ascii="宋体" w:hAnsi="宋体" w:eastAsia="宋体"/>
          <w:b/>
          <w:bCs/>
          <w:snapToGrid w:val="0"/>
          <w:color w:val="auto"/>
          <w:spacing w:val="20"/>
          <w:kern w:val="0"/>
          <w:sz w:val="32"/>
        </w:rPr>
        <w:t xml:space="preserve"> </w:t>
      </w:r>
      <w:r>
        <w:rPr>
          <w:rFonts w:ascii="宋体" w:hAnsi="宋体" w:eastAsia="宋体"/>
          <w:b/>
          <w:bCs/>
          <w:snapToGrid w:val="0"/>
          <w:color w:val="auto"/>
          <w:spacing w:val="20"/>
          <w:kern w:val="0"/>
          <w:sz w:val="32"/>
          <w:u w:val="single"/>
        </w:rPr>
        <w:t xml:space="preserve">                      </w:t>
      </w:r>
      <w:r>
        <w:rPr>
          <w:rFonts w:hint="eastAsia" w:ascii="宋体" w:hAnsi="宋体" w:eastAsia="宋体"/>
          <w:b/>
          <w:bCs/>
          <w:snapToGrid w:val="0"/>
          <w:color w:val="auto"/>
          <w:spacing w:val="20"/>
          <w:kern w:val="0"/>
          <w:sz w:val="32"/>
        </w:rPr>
        <w:t xml:space="preserve">  </w:t>
      </w:r>
    </w:p>
    <w:p w14:paraId="62315CA0">
      <w:pPr>
        <w:overflowPunct w:val="0"/>
        <w:topLinePunct/>
        <w:adjustRightInd w:val="0"/>
        <w:snapToGrid w:val="0"/>
        <w:spacing w:line="360" w:lineRule="auto"/>
        <w:ind w:firstLine="472" w:firstLineChars="147"/>
        <w:rPr>
          <w:rFonts w:ascii="宋体" w:hAnsi="宋体" w:eastAsia="宋体"/>
          <w:b/>
          <w:bCs/>
          <w:snapToGrid w:val="0"/>
          <w:color w:val="auto"/>
          <w:kern w:val="0"/>
          <w:sz w:val="32"/>
          <w:u w:val="single"/>
        </w:rPr>
      </w:pPr>
      <w:r>
        <w:rPr>
          <w:rFonts w:hint="eastAsia" w:ascii="宋体" w:hAnsi="宋体" w:eastAsia="宋体"/>
          <w:b/>
          <w:bCs/>
          <w:snapToGrid w:val="0"/>
          <w:color w:val="auto"/>
          <w:kern w:val="0"/>
          <w:sz w:val="32"/>
        </w:rPr>
        <w:t>法定代表人（签字）</w:t>
      </w:r>
      <w:r>
        <w:rPr>
          <w:rFonts w:hint="eastAsia" w:ascii="宋体" w:hAnsi="宋体" w:eastAsia="宋体"/>
          <w:b/>
          <w:bCs/>
          <w:snapToGrid w:val="0"/>
          <w:color w:val="auto"/>
          <w:kern w:val="0"/>
          <w:sz w:val="32"/>
          <w:u w:val="single"/>
        </w:rPr>
        <w:t xml:space="preserve">                            </w:t>
      </w:r>
    </w:p>
    <w:p w14:paraId="3BF59B79">
      <w:pPr>
        <w:overflowPunct w:val="0"/>
        <w:topLinePunct/>
        <w:adjustRightInd w:val="0"/>
        <w:snapToGrid w:val="0"/>
        <w:spacing w:line="360" w:lineRule="auto"/>
        <w:jc w:val="center"/>
        <w:rPr>
          <w:rFonts w:ascii="宋体" w:hAnsi="宋体" w:eastAsia="宋体"/>
          <w:b/>
          <w:bCs/>
          <w:snapToGrid w:val="0"/>
          <w:color w:val="auto"/>
          <w:kern w:val="0"/>
          <w:sz w:val="32"/>
        </w:rPr>
      </w:pPr>
    </w:p>
    <w:p w14:paraId="28B6E4AE">
      <w:pPr>
        <w:overflowPunct w:val="0"/>
        <w:topLinePunct/>
        <w:adjustRightInd w:val="0"/>
        <w:snapToGrid w:val="0"/>
        <w:spacing w:line="360" w:lineRule="auto"/>
        <w:jc w:val="center"/>
        <w:rPr>
          <w:rFonts w:ascii="宋体" w:hAnsi="宋体" w:eastAsia="宋体"/>
          <w:b/>
          <w:bCs/>
          <w:snapToGrid w:val="0"/>
          <w:color w:val="auto"/>
          <w:kern w:val="0"/>
          <w:sz w:val="32"/>
        </w:rPr>
      </w:pPr>
    </w:p>
    <w:p w14:paraId="71FB069F">
      <w:pPr>
        <w:overflowPunct w:val="0"/>
        <w:topLinePunct/>
        <w:adjustRightInd w:val="0"/>
        <w:snapToGrid w:val="0"/>
        <w:spacing w:line="360" w:lineRule="auto"/>
        <w:jc w:val="center"/>
        <w:rPr>
          <w:rFonts w:ascii="宋体" w:hAnsi="宋体" w:eastAsia="宋体"/>
          <w:b/>
          <w:bCs/>
          <w:snapToGrid w:val="0"/>
          <w:color w:val="auto"/>
          <w:kern w:val="0"/>
          <w:sz w:val="32"/>
          <w:u w:val="single"/>
        </w:rPr>
      </w:pPr>
      <w:r>
        <w:rPr>
          <w:rFonts w:hint="eastAsia" w:ascii="宋体" w:hAnsi="宋体" w:eastAsia="宋体"/>
          <w:b/>
          <w:bCs/>
          <w:snapToGrid w:val="0"/>
          <w:color w:val="auto"/>
          <w:kern w:val="0"/>
          <w:sz w:val="32"/>
        </w:rPr>
        <w:t xml:space="preserve"> </w:t>
      </w:r>
    </w:p>
    <w:p w14:paraId="2907BD34">
      <w:pPr>
        <w:overflowPunct w:val="0"/>
        <w:topLinePunct/>
        <w:adjustRightInd w:val="0"/>
        <w:snapToGrid w:val="0"/>
        <w:spacing w:line="360" w:lineRule="auto"/>
        <w:jc w:val="center"/>
        <w:rPr>
          <w:rFonts w:ascii="宋体" w:hAnsi="宋体" w:eastAsia="宋体"/>
          <w:b/>
          <w:bCs/>
          <w:snapToGrid w:val="0"/>
          <w:color w:val="auto"/>
          <w:kern w:val="0"/>
          <w:sz w:val="32"/>
        </w:rPr>
      </w:pPr>
      <w:r>
        <w:rPr>
          <w:rFonts w:hint="eastAsia" w:ascii="宋体" w:hAnsi="宋体" w:eastAsia="宋体"/>
          <w:b/>
          <w:bCs/>
          <w:snapToGrid w:val="0"/>
          <w:color w:val="auto"/>
          <w:kern w:val="0"/>
          <w:sz w:val="32"/>
        </w:rPr>
        <w:t xml:space="preserve"> 年    月    日</w:t>
      </w:r>
    </w:p>
    <w:p w14:paraId="6EBA16F4">
      <w:pPr>
        <w:spacing w:before="312" w:beforeLines="100" w:after="312" w:afterLines="100"/>
        <w:jc w:val="center"/>
        <w:rPr>
          <w:rFonts w:ascii="黑体" w:hAnsi="黑体" w:eastAsia="黑体"/>
          <w:color w:val="auto"/>
          <w:sz w:val="44"/>
          <w:szCs w:val="44"/>
        </w:rPr>
      </w:pPr>
      <w:r>
        <w:rPr>
          <w:rFonts w:hint="eastAsia" w:ascii="黑体" w:hAnsi="黑体" w:eastAsia="黑体"/>
          <w:color w:val="auto"/>
          <w:sz w:val="44"/>
          <w:szCs w:val="44"/>
        </w:rPr>
        <w:t>辽宁省绿色矿山自评估报告</w:t>
      </w:r>
    </w:p>
    <w:p w14:paraId="416C0DF5">
      <w:pPr>
        <w:jc w:val="center"/>
        <w:rPr>
          <w:rFonts w:ascii="楷体_GB2312" w:hAnsi="仿宋" w:eastAsia="楷体_GB2312"/>
          <w:color w:val="auto"/>
          <w:sz w:val="32"/>
          <w:szCs w:val="32"/>
        </w:rPr>
      </w:pPr>
      <w:r>
        <w:rPr>
          <w:rFonts w:hint="eastAsia" w:ascii="楷体_GB2312" w:hAnsi="仿宋" w:eastAsia="楷体_GB2312"/>
          <w:color w:val="auto"/>
          <w:sz w:val="32"/>
          <w:szCs w:val="32"/>
        </w:rPr>
        <w:t>（参考提纲）</w:t>
      </w:r>
    </w:p>
    <w:p w14:paraId="18E6324D">
      <w:pPr>
        <w:ind w:firstLine="640" w:firstLineChars="200"/>
        <w:rPr>
          <w:rFonts w:ascii="黑体" w:hAnsi="黑体" w:eastAsia="黑体"/>
          <w:color w:val="auto"/>
          <w:sz w:val="32"/>
          <w:szCs w:val="32"/>
        </w:rPr>
      </w:pPr>
      <w:r>
        <w:rPr>
          <w:rFonts w:hint="eastAsia" w:ascii="黑体" w:hAnsi="黑体" w:eastAsia="黑体"/>
          <w:color w:val="auto"/>
          <w:sz w:val="32"/>
          <w:szCs w:val="32"/>
        </w:rPr>
        <w:t>一、矿山简介</w:t>
      </w:r>
    </w:p>
    <w:p w14:paraId="23790C37">
      <w:pPr>
        <w:ind w:firstLine="640" w:firstLineChars="200"/>
        <w:rPr>
          <w:rFonts w:ascii="仿宋" w:hAnsi="仿宋" w:eastAsia="仿宋"/>
          <w:color w:val="auto"/>
          <w:sz w:val="32"/>
          <w:szCs w:val="32"/>
        </w:rPr>
      </w:pPr>
      <w:r>
        <w:rPr>
          <w:rFonts w:hint="eastAsia" w:ascii="仿宋" w:hAnsi="仿宋" w:eastAsia="仿宋"/>
          <w:color w:val="auto"/>
          <w:sz w:val="32"/>
          <w:szCs w:val="32"/>
        </w:rPr>
        <w:t>介绍矿山</w:t>
      </w:r>
      <w:r>
        <w:rPr>
          <w:rFonts w:ascii="仿宋" w:hAnsi="仿宋" w:eastAsia="仿宋"/>
          <w:color w:val="auto"/>
          <w:sz w:val="32"/>
          <w:szCs w:val="32"/>
        </w:rPr>
        <w:t>基本情况</w:t>
      </w:r>
      <w:r>
        <w:rPr>
          <w:rFonts w:hint="eastAsia" w:ascii="仿宋" w:hAnsi="仿宋" w:eastAsia="仿宋"/>
          <w:color w:val="auto"/>
          <w:sz w:val="32"/>
          <w:szCs w:val="32"/>
        </w:rPr>
        <w:t>。</w:t>
      </w:r>
    </w:p>
    <w:p w14:paraId="43792194">
      <w:pPr>
        <w:ind w:firstLine="640" w:firstLineChars="200"/>
        <w:rPr>
          <w:rFonts w:ascii="黑体" w:hAnsi="黑体" w:eastAsia="黑体"/>
          <w:color w:val="auto"/>
          <w:sz w:val="32"/>
          <w:szCs w:val="32"/>
        </w:rPr>
      </w:pPr>
      <w:r>
        <w:rPr>
          <w:rFonts w:hint="eastAsia" w:ascii="黑体" w:hAnsi="黑体" w:eastAsia="黑体"/>
          <w:color w:val="auto"/>
          <w:sz w:val="32"/>
          <w:szCs w:val="32"/>
        </w:rPr>
        <w:t>二、评估依据</w:t>
      </w:r>
    </w:p>
    <w:p w14:paraId="6305BA2C">
      <w:pPr>
        <w:ind w:firstLine="640" w:firstLineChars="200"/>
        <w:rPr>
          <w:rFonts w:ascii="仿宋" w:hAnsi="仿宋" w:eastAsia="仿宋"/>
          <w:color w:val="auto"/>
          <w:sz w:val="32"/>
          <w:szCs w:val="32"/>
        </w:rPr>
      </w:pPr>
      <w:r>
        <w:rPr>
          <w:rFonts w:ascii="仿宋" w:hAnsi="仿宋" w:eastAsia="仿宋"/>
          <w:color w:val="auto"/>
          <w:sz w:val="32"/>
          <w:szCs w:val="32"/>
        </w:rPr>
        <w:t>矿山编制的绿色矿山建设规划</w:t>
      </w:r>
      <w:r>
        <w:rPr>
          <w:rFonts w:hint="eastAsia" w:ascii="仿宋" w:hAnsi="仿宋" w:eastAsia="仿宋"/>
          <w:color w:val="auto"/>
          <w:sz w:val="32"/>
          <w:szCs w:val="32"/>
        </w:rPr>
        <w:t>，《非</w:t>
      </w:r>
      <w:r>
        <w:rPr>
          <w:rFonts w:ascii="仿宋" w:hAnsi="仿宋" w:eastAsia="仿宋"/>
          <w:color w:val="auto"/>
          <w:sz w:val="32"/>
          <w:szCs w:val="32"/>
        </w:rPr>
        <w:t>金属矿行业</w:t>
      </w:r>
      <w:r>
        <w:rPr>
          <w:rFonts w:hint="eastAsia" w:ascii="仿宋" w:hAnsi="仿宋" w:eastAsia="仿宋"/>
          <w:color w:val="auto"/>
          <w:sz w:val="32"/>
          <w:szCs w:val="32"/>
        </w:rPr>
        <w:t>绿色矿山建设规范》等9大</w:t>
      </w:r>
      <w:r>
        <w:rPr>
          <w:rFonts w:ascii="仿宋" w:hAnsi="仿宋" w:eastAsia="仿宋"/>
          <w:color w:val="auto"/>
          <w:sz w:val="32"/>
          <w:szCs w:val="32"/>
        </w:rPr>
        <w:t>行业规范</w:t>
      </w:r>
      <w:r>
        <w:rPr>
          <w:rFonts w:hint="eastAsia" w:ascii="仿宋" w:hAnsi="仿宋" w:eastAsia="仿宋"/>
          <w:color w:val="auto"/>
          <w:sz w:val="32"/>
          <w:szCs w:val="32"/>
        </w:rPr>
        <w:t>及</w:t>
      </w:r>
      <w:r>
        <w:rPr>
          <w:rFonts w:ascii="仿宋" w:hAnsi="仿宋" w:eastAsia="仿宋"/>
          <w:color w:val="auto"/>
          <w:sz w:val="32"/>
          <w:szCs w:val="32"/>
        </w:rPr>
        <w:t>规范解读</w:t>
      </w:r>
      <w:r>
        <w:rPr>
          <w:rFonts w:hint="eastAsia" w:ascii="仿宋" w:hAnsi="仿宋" w:eastAsia="仿宋"/>
          <w:color w:val="auto"/>
          <w:sz w:val="32"/>
          <w:szCs w:val="32"/>
        </w:rPr>
        <w:t>、《固体矿产绿色矿山建设指南（试行）》、《辽宁省绿色矿山考评标准体系》等。</w:t>
      </w:r>
    </w:p>
    <w:p w14:paraId="5F7DEDC4">
      <w:pPr>
        <w:ind w:firstLine="640" w:firstLineChars="200"/>
        <w:rPr>
          <w:rFonts w:ascii="黑体" w:hAnsi="黑体" w:eastAsia="黑体"/>
          <w:color w:val="auto"/>
          <w:sz w:val="32"/>
          <w:szCs w:val="32"/>
        </w:rPr>
      </w:pPr>
      <w:r>
        <w:rPr>
          <w:rFonts w:hint="eastAsia" w:ascii="黑体" w:hAnsi="黑体" w:eastAsia="黑体"/>
          <w:color w:val="auto"/>
          <w:sz w:val="32"/>
          <w:szCs w:val="32"/>
        </w:rPr>
        <w:t>三、对标自评</w:t>
      </w:r>
    </w:p>
    <w:p w14:paraId="61F16A50">
      <w:pPr>
        <w:ind w:firstLine="640" w:firstLineChars="200"/>
        <w:rPr>
          <w:rFonts w:ascii="仿宋" w:hAnsi="仿宋" w:eastAsia="仿宋"/>
          <w:color w:val="auto"/>
          <w:sz w:val="32"/>
          <w:szCs w:val="32"/>
        </w:rPr>
      </w:pPr>
      <w:r>
        <w:rPr>
          <w:rFonts w:hint="eastAsia" w:ascii="仿宋" w:hAnsi="仿宋" w:eastAsia="仿宋"/>
          <w:color w:val="auto"/>
          <w:sz w:val="32"/>
          <w:szCs w:val="32"/>
        </w:rPr>
        <w:t>围绕绿色矿山建设要求及行业标准，</w:t>
      </w:r>
      <w:r>
        <w:rPr>
          <w:rFonts w:ascii="仿宋" w:hAnsi="仿宋" w:eastAsia="仿宋"/>
          <w:color w:val="auto"/>
          <w:sz w:val="32"/>
          <w:szCs w:val="32"/>
        </w:rPr>
        <w:t>结合</w:t>
      </w:r>
      <w:r>
        <w:rPr>
          <w:rFonts w:hint="eastAsia" w:ascii="仿宋" w:hAnsi="仿宋" w:eastAsia="仿宋"/>
          <w:color w:val="auto"/>
          <w:sz w:val="32"/>
          <w:szCs w:val="32"/>
        </w:rPr>
        <w:t>《辽宁省绿色矿山考评标准体系》开展自评，从矿区环境</w:t>
      </w:r>
      <w:r>
        <w:rPr>
          <w:rFonts w:ascii="仿宋" w:hAnsi="仿宋" w:eastAsia="仿宋"/>
          <w:color w:val="auto"/>
          <w:sz w:val="32"/>
          <w:szCs w:val="32"/>
        </w:rPr>
        <w:t>、</w:t>
      </w:r>
      <w:r>
        <w:rPr>
          <w:rFonts w:hint="eastAsia" w:ascii="仿宋" w:hAnsi="仿宋" w:eastAsia="仿宋"/>
          <w:color w:val="auto"/>
          <w:sz w:val="32"/>
          <w:szCs w:val="32"/>
        </w:rPr>
        <w:t>资源开采</w:t>
      </w:r>
      <w:r>
        <w:rPr>
          <w:rFonts w:ascii="仿宋" w:hAnsi="仿宋" w:eastAsia="仿宋"/>
          <w:color w:val="auto"/>
          <w:sz w:val="32"/>
          <w:szCs w:val="32"/>
        </w:rPr>
        <w:t>、</w:t>
      </w:r>
      <w:r>
        <w:rPr>
          <w:rFonts w:hint="eastAsia" w:ascii="仿宋" w:hAnsi="仿宋" w:eastAsia="仿宋"/>
          <w:color w:val="auto"/>
          <w:sz w:val="32"/>
          <w:szCs w:val="32"/>
        </w:rPr>
        <w:t>资源综合利用</w:t>
      </w:r>
      <w:r>
        <w:rPr>
          <w:rFonts w:ascii="仿宋" w:hAnsi="仿宋" w:eastAsia="仿宋"/>
          <w:color w:val="auto"/>
          <w:sz w:val="32"/>
          <w:szCs w:val="32"/>
        </w:rPr>
        <w:t>、</w:t>
      </w:r>
      <w:r>
        <w:rPr>
          <w:rFonts w:hint="eastAsia" w:ascii="仿宋" w:hAnsi="仿宋" w:eastAsia="仿宋"/>
          <w:color w:val="auto"/>
          <w:sz w:val="32"/>
          <w:szCs w:val="32"/>
        </w:rPr>
        <w:t>绿色低碳</w:t>
      </w:r>
      <w:r>
        <w:rPr>
          <w:rFonts w:ascii="仿宋" w:hAnsi="仿宋" w:eastAsia="仿宋"/>
          <w:color w:val="auto"/>
          <w:sz w:val="32"/>
          <w:szCs w:val="32"/>
        </w:rPr>
        <w:t>、</w:t>
      </w:r>
      <w:r>
        <w:rPr>
          <w:rFonts w:hint="eastAsia" w:ascii="仿宋" w:hAnsi="仿宋" w:eastAsia="仿宋"/>
          <w:color w:val="auto"/>
          <w:sz w:val="32"/>
          <w:szCs w:val="32"/>
        </w:rPr>
        <w:t>生态修复与环境治理</w:t>
      </w:r>
      <w:r>
        <w:rPr>
          <w:rFonts w:ascii="仿宋" w:hAnsi="仿宋" w:eastAsia="仿宋"/>
          <w:color w:val="auto"/>
          <w:sz w:val="32"/>
          <w:szCs w:val="32"/>
        </w:rPr>
        <w:t>、</w:t>
      </w:r>
      <w:r>
        <w:rPr>
          <w:rFonts w:hint="eastAsia" w:ascii="仿宋" w:hAnsi="仿宋" w:eastAsia="仿宋"/>
          <w:color w:val="auto"/>
          <w:sz w:val="32"/>
          <w:szCs w:val="32"/>
        </w:rPr>
        <w:t xml:space="preserve">科技创新与规范管理评价绿色矿山建设情况。 </w:t>
      </w:r>
    </w:p>
    <w:p w14:paraId="610B432E">
      <w:pPr>
        <w:ind w:firstLine="640" w:firstLineChars="200"/>
        <w:rPr>
          <w:rFonts w:ascii="黑体" w:hAnsi="黑体" w:eastAsia="黑体"/>
          <w:color w:val="auto"/>
          <w:sz w:val="32"/>
          <w:szCs w:val="32"/>
        </w:rPr>
      </w:pPr>
      <w:r>
        <w:rPr>
          <w:rFonts w:hint="eastAsia" w:ascii="黑体" w:hAnsi="黑体" w:eastAsia="黑体"/>
          <w:color w:val="auto"/>
          <w:sz w:val="32"/>
          <w:szCs w:val="32"/>
        </w:rPr>
        <w:t>四、自评估结论</w:t>
      </w:r>
    </w:p>
    <w:p w14:paraId="2CD34EA9">
      <w:pPr>
        <w:ind w:firstLine="640" w:firstLineChars="200"/>
        <w:rPr>
          <w:rFonts w:ascii="仿宋" w:hAnsi="仿宋" w:eastAsia="仿宋"/>
          <w:color w:val="auto"/>
          <w:sz w:val="32"/>
          <w:szCs w:val="32"/>
        </w:rPr>
      </w:pPr>
      <w:r>
        <w:rPr>
          <w:rFonts w:hint="eastAsia" w:ascii="仿宋" w:hAnsi="仿宋" w:eastAsia="仿宋"/>
          <w:color w:val="auto"/>
          <w:sz w:val="32"/>
          <w:szCs w:val="32"/>
        </w:rPr>
        <w:t>明确说明企业是否完成绿色矿山建设任务，是否达到绿色矿山建设要求，是否达到绿色矿山建设标准。</w:t>
      </w:r>
    </w:p>
    <w:p w14:paraId="7E2864F0">
      <w:pPr>
        <w:ind w:firstLine="640" w:firstLineChars="200"/>
        <w:jc w:val="left"/>
        <w:rPr>
          <w:rFonts w:ascii="仿宋" w:hAnsi="仿宋" w:eastAsia="仿宋"/>
          <w:color w:val="auto"/>
          <w:sz w:val="32"/>
          <w:szCs w:val="32"/>
        </w:rPr>
      </w:pPr>
    </w:p>
    <w:p w14:paraId="50250D80">
      <w:pPr>
        <w:ind w:firstLine="643" w:firstLineChars="200"/>
        <w:jc w:val="left"/>
        <w:rPr>
          <w:rFonts w:ascii="仿宋" w:hAnsi="仿宋" w:eastAsia="仿宋"/>
          <w:b/>
          <w:color w:val="auto"/>
          <w:sz w:val="32"/>
          <w:szCs w:val="32"/>
        </w:rPr>
      </w:pPr>
      <w:r>
        <w:rPr>
          <w:rFonts w:hint="eastAsia" w:ascii="仿宋" w:hAnsi="仿宋" w:eastAsia="仿宋"/>
          <w:b/>
          <w:color w:val="auto"/>
          <w:sz w:val="32"/>
          <w:szCs w:val="32"/>
        </w:rPr>
        <w:t>附件：</w:t>
      </w:r>
    </w:p>
    <w:p w14:paraId="31F23883">
      <w:pPr>
        <w:numPr>
          <w:ilvl w:val="0"/>
          <w:numId w:val="1"/>
        </w:numPr>
        <w:jc w:val="left"/>
        <w:rPr>
          <w:rFonts w:ascii="仿宋" w:hAnsi="仿宋" w:eastAsia="仿宋"/>
          <w:color w:val="auto"/>
          <w:sz w:val="32"/>
          <w:szCs w:val="32"/>
        </w:rPr>
      </w:pPr>
      <w:r>
        <w:rPr>
          <w:rFonts w:hint="eastAsia" w:ascii="仿宋" w:hAnsi="仿宋" w:eastAsia="仿宋"/>
          <w:color w:val="auto"/>
          <w:sz w:val="32"/>
          <w:szCs w:val="32"/>
        </w:rPr>
        <w:t>相关证照复印件。</w:t>
      </w:r>
    </w:p>
    <w:p w14:paraId="60526EAC">
      <w:pPr>
        <w:ind w:firstLine="640" w:firstLineChars="200"/>
        <w:rPr>
          <w:rFonts w:ascii="仿宋" w:hAnsi="仿宋" w:eastAsia="仿宋"/>
          <w:color w:val="auto"/>
          <w:sz w:val="32"/>
          <w:szCs w:val="32"/>
        </w:rPr>
      </w:pPr>
      <w:r>
        <w:rPr>
          <w:rFonts w:hint="eastAsia" w:ascii="仿宋" w:hAnsi="仿宋" w:eastAsia="仿宋"/>
          <w:color w:val="auto"/>
          <w:sz w:val="32"/>
          <w:szCs w:val="32"/>
        </w:rPr>
        <w:t>2.重要管理</w:t>
      </w:r>
      <w:r>
        <w:rPr>
          <w:rFonts w:ascii="仿宋" w:hAnsi="仿宋" w:eastAsia="仿宋"/>
          <w:color w:val="auto"/>
          <w:sz w:val="32"/>
          <w:szCs w:val="32"/>
        </w:rPr>
        <w:t>制度、获奖证书、有关认定证书等相关材料</w:t>
      </w:r>
      <w:r>
        <w:rPr>
          <w:rFonts w:hint="eastAsia" w:ascii="仿宋" w:hAnsi="仿宋" w:eastAsia="仿宋"/>
          <w:color w:val="auto"/>
          <w:sz w:val="32"/>
          <w:szCs w:val="32"/>
        </w:rPr>
        <w:t>复印件</w:t>
      </w:r>
      <w:r>
        <w:rPr>
          <w:rFonts w:hint="eastAsia" w:ascii="仿宋" w:hAnsi="仿宋" w:eastAsia="仿宋"/>
          <w:color w:val="auto"/>
          <w:sz w:val="32"/>
          <w:szCs w:val="32"/>
          <w:shd w:val="clear" w:color="auto" w:fill="FFFFFF"/>
        </w:rPr>
        <w:t>。</w:t>
      </w:r>
    </w:p>
    <w:p w14:paraId="1D39F94D">
      <w:pPr>
        <w:ind w:firstLine="640" w:firstLineChars="200"/>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3.绿色</w:t>
      </w:r>
      <w:r>
        <w:rPr>
          <w:rFonts w:ascii="仿宋" w:hAnsi="仿宋" w:eastAsia="仿宋"/>
          <w:color w:val="auto"/>
          <w:sz w:val="32"/>
          <w:szCs w:val="32"/>
          <w:shd w:val="clear" w:color="auto" w:fill="FFFFFF"/>
        </w:rPr>
        <w:t>矿山</w:t>
      </w:r>
      <w:r>
        <w:rPr>
          <w:rFonts w:hint="eastAsia" w:ascii="仿宋" w:hAnsi="仿宋" w:eastAsia="仿宋"/>
          <w:color w:val="auto"/>
          <w:sz w:val="32"/>
          <w:szCs w:val="32"/>
          <w:shd w:val="clear" w:color="auto" w:fill="FFFFFF"/>
        </w:rPr>
        <w:t>建设前后对比图件，有条件的可提供视频资料。</w:t>
      </w:r>
    </w:p>
    <w:p w14:paraId="0AC03AAB">
      <w:pPr>
        <w:ind w:firstLine="640" w:firstLineChars="200"/>
        <w:rPr>
          <w:rFonts w:ascii="仿宋" w:hAnsi="仿宋" w:eastAsia="仿宋"/>
          <w:color w:val="auto"/>
          <w:sz w:val="32"/>
          <w:szCs w:val="32"/>
        </w:rPr>
      </w:pPr>
      <w:r>
        <w:rPr>
          <w:rFonts w:hint="eastAsia" w:ascii="仿宋" w:hAnsi="仿宋" w:eastAsia="仿宋"/>
          <w:color w:val="auto"/>
          <w:sz w:val="32"/>
          <w:szCs w:val="32"/>
          <w:shd w:val="clear" w:color="auto" w:fill="FFFFFF"/>
        </w:rPr>
        <w:t>注</w:t>
      </w:r>
      <w:r>
        <w:rPr>
          <w:rFonts w:ascii="仿宋" w:hAnsi="仿宋" w:eastAsia="仿宋"/>
          <w:color w:val="auto"/>
          <w:sz w:val="32"/>
          <w:szCs w:val="32"/>
          <w:shd w:val="clear" w:color="auto" w:fill="FFFFFF"/>
        </w:rPr>
        <w:t>：</w:t>
      </w:r>
      <w:r>
        <w:rPr>
          <w:rFonts w:hint="eastAsia" w:ascii="仿宋" w:hAnsi="仿宋" w:eastAsia="仿宋"/>
          <w:color w:val="auto"/>
          <w:sz w:val="32"/>
          <w:szCs w:val="32"/>
          <w:shd w:val="clear" w:color="auto" w:fill="FFFFFF"/>
        </w:rPr>
        <w:t>所有材料</w:t>
      </w:r>
      <w:r>
        <w:rPr>
          <w:rFonts w:ascii="仿宋" w:hAnsi="仿宋" w:eastAsia="仿宋"/>
          <w:color w:val="auto"/>
          <w:sz w:val="32"/>
          <w:szCs w:val="32"/>
          <w:shd w:val="clear" w:color="auto" w:fill="FFFFFF"/>
        </w:rPr>
        <w:t>需加盖单位公章。</w:t>
      </w:r>
    </w:p>
    <w:p w14:paraId="1762ABA6">
      <w:pPr>
        <w:autoSpaceDE w:val="0"/>
        <w:autoSpaceDN w:val="0"/>
        <w:adjustRightInd w:val="0"/>
        <w:ind w:firstLine="640" w:firstLineChars="200"/>
        <w:jc w:val="left"/>
        <w:rPr>
          <w:rFonts w:ascii="仿宋" w:hAnsi="仿宋" w:eastAsia="仿宋"/>
          <w:color w:val="auto"/>
          <w:sz w:val="32"/>
          <w:szCs w:val="32"/>
        </w:rPr>
      </w:pPr>
    </w:p>
    <w:p w14:paraId="19171E7C">
      <w:pPr>
        <w:rPr>
          <w:color w:val="auto"/>
        </w:rPr>
      </w:pPr>
    </w:p>
    <w:p w14:paraId="5A564DA8">
      <w:pPr>
        <w:pStyle w:val="11"/>
        <w:widowControl/>
        <w:adjustRightInd w:val="0"/>
        <w:snapToGrid w:val="0"/>
        <w:spacing w:before="0" w:beforeAutospacing="0" w:after="0" w:afterAutospacing="0" w:line="360" w:lineRule="auto"/>
        <w:ind w:firstLine="1500" w:firstLineChars="500"/>
        <w:jc w:val="both"/>
        <w:rPr>
          <w:rFonts w:ascii="仿宋" w:hAnsi="仿宋" w:eastAsia="仿宋" w:cs="宋体"/>
          <w:color w:val="auto"/>
          <w:sz w:val="30"/>
          <w:szCs w:val="30"/>
        </w:rPr>
      </w:pPr>
      <w:r>
        <w:rPr>
          <w:rFonts w:ascii="仿宋" w:hAnsi="仿宋" w:eastAsia="仿宋" w:cs="宋体"/>
          <w:color w:val="auto"/>
          <w:sz w:val="30"/>
          <w:szCs w:val="30"/>
        </w:rPr>
        <w:br w:type="page"/>
      </w:r>
    </w:p>
    <w:p w14:paraId="5FEAF5DC">
      <w:pPr>
        <w:adjustRightInd w:val="0"/>
        <w:snapToGrid w:val="0"/>
        <w:spacing w:line="560" w:lineRule="exact"/>
        <w:rPr>
          <w:rFonts w:ascii="Times New Roman" w:hAnsi="Times New Roman" w:eastAsia="黑体"/>
          <w:color w:val="auto"/>
          <w:sz w:val="32"/>
        </w:rPr>
      </w:pPr>
      <w:r>
        <w:rPr>
          <w:rFonts w:hint="eastAsia" w:ascii="Times New Roman" w:hAnsi="Times New Roman" w:eastAsia="黑体"/>
          <w:color w:val="auto"/>
          <w:sz w:val="32"/>
        </w:rPr>
        <w:t>附件2</w:t>
      </w:r>
      <w:r>
        <w:rPr>
          <w:rFonts w:ascii="Times New Roman" w:hAnsi="Times New Roman" w:eastAsia="黑体"/>
          <w:color w:val="auto"/>
          <w:sz w:val="32"/>
        </w:rPr>
        <w:t>-</w:t>
      </w:r>
      <w:r>
        <w:rPr>
          <w:rFonts w:hint="eastAsia" w:ascii="Times New Roman" w:hAnsi="Times New Roman" w:eastAsia="黑体"/>
          <w:color w:val="auto"/>
          <w:sz w:val="32"/>
        </w:rPr>
        <w:t>5</w:t>
      </w:r>
    </w:p>
    <w:p w14:paraId="72CC28A0">
      <w:pPr>
        <w:spacing w:line="560" w:lineRule="exact"/>
        <w:jc w:val="center"/>
        <w:rPr>
          <w:rFonts w:ascii="黑体" w:hAnsi="黑体" w:eastAsia="黑体" w:cs="方正小标宋简体"/>
          <w:color w:val="auto"/>
          <w:sz w:val="44"/>
          <w:szCs w:val="44"/>
        </w:rPr>
      </w:pPr>
      <w:r>
        <w:rPr>
          <w:rFonts w:hint="eastAsia" w:ascii="黑体" w:hAnsi="黑体" w:eastAsia="黑体" w:cs="方正小标宋简体"/>
          <w:color w:val="auto"/>
          <w:sz w:val="44"/>
          <w:szCs w:val="44"/>
        </w:rPr>
        <w:t>辽宁省绿色矿山入库信息表</w:t>
      </w:r>
    </w:p>
    <w:tbl>
      <w:tblPr>
        <w:tblStyle w:val="13"/>
        <w:tblW w:w="9703" w:type="dxa"/>
        <w:jc w:val="center"/>
        <w:tblLayout w:type="fixed"/>
        <w:tblCellMar>
          <w:top w:w="0" w:type="dxa"/>
          <w:left w:w="0" w:type="dxa"/>
          <w:bottom w:w="0" w:type="dxa"/>
          <w:right w:w="0" w:type="dxa"/>
        </w:tblCellMar>
      </w:tblPr>
      <w:tblGrid>
        <w:gridCol w:w="2644"/>
        <w:gridCol w:w="2029"/>
        <w:gridCol w:w="2586"/>
        <w:gridCol w:w="2444"/>
      </w:tblGrid>
      <w:tr w14:paraId="11DB5161">
        <w:tblPrEx>
          <w:tblCellMar>
            <w:top w:w="0" w:type="dxa"/>
            <w:left w:w="0" w:type="dxa"/>
            <w:bottom w:w="0" w:type="dxa"/>
            <w:right w:w="0" w:type="dxa"/>
          </w:tblCellMar>
        </w:tblPrEx>
        <w:trPr>
          <w:trHeight w:val="189" w:hRule="atLeast"/>
          <w:jc w:val="center"/>
        </w:trPr>
        <w:tc>
          <w:tcPr>
            <w:tcW w:w="9703" w:type="dxa"/>
            <w:gridSpan w:val="4"/>
            <w:tcBorders>
              <w:top w:val="nil"/>
              <w:left w:val="nil"/>
              <w:bottom w:val="nil"/>
              <w:right w:val="nil"/>
            </w:tcBorders>
            <w:tcMar>
              <w:top w:w="12" w:type="dxa"/>
              <w:left w:w="12" w:type="dxa"/>
              <w:right w:w="12" w:type="dxa"/>
            </w:tcMar>
            <w:vAlign w:val="center"/>
          </w:tcPr>
          <w:p w14:paraId="7B60DB71">
            <w:pPr>
              <w:jc w:val="right"/>
              <w:textAlignment w:val="center"/>
              <w:rPr>
                <w:rFonts w:ascii="Times New Roman" w:hAnsi="Times New Roman" w:eastAsia="仿宋_GB2312" w:cs="宋体"/>
                <w:color w:val="auto"/>
                <w:sz w:val="24"/>
                <w:szCs w:val="24"/>
              </w:rPr>
            </w:pPr>
          </w:p>
        </w:tc>
      </w:tr>
      <w:tr w14:paraId="63115E0D">
        <w:tblPrEx>
          <w:tblCellMar>
            <w:top w:w="0" w:type="dxa"/>
            <w:left w:w="0" w:type="dxa"/>
            <w:bottom w:w="0" w:type="dxa"/>
            <w:right w:w="0" w:type="dxa"/>
          </w:tblCellMar>
        </w:tblPrEx>
        <w:trPr>
          <w:trHeight w:val="438" w:hRule="atLeast"/>
          <w:jc w:val="center"/>
        </w:trPr>
        <w:tc>
          <w:tcPr>
            <w:tcW w:w="970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A0631D">
            <w:pPr>
              <w:jc w:val="center"/>
              <w:textAlignment w:val="center"/>
              <w:rPr>
                <w:rFonts w:ascii="Times New Roman" w:hAnsi="Times New Roman" w:eastAsia="黑体" w:cs="黑体"/>
                <w:color w:val="auto"/>
                <w:sz w:val="28"/>
                <w:szCs w:val="28"/>
              </w:rPr>
            </w:pPr>
            <w:r>
              <w:rPr>
                <w:rFonts w:hint="eastAsia" w:ascii="Times New Roman" w:hAnsi="Times New Roman" w:eastAsia="黑体" w:cs="黑体"/>
                <w:color w:val="auto"/>
                <w:kern w:val="0"/>
                <w:sz w:val="32"/>
                <w:szCs w:val="32"/>
                <w:lang w:bidi="ar"/>
              </w:rPr>
              <w:t>矿山基本信息</w:t>
            </w:r>
            <w:r>
              <w:rPr>
                <w:rFonts w:hint="eastAsia" w:ascii="Times New Roman" w:hAnsi="Times New Roman" w:eastAsia="黑体" w:cs="黑体"/>
                <w:color w:val="auto"/>
                <w:kern w:val="0"/>
                <w:sz w:val="28"/>
                <w:szCs w:val="28"/>
                <w:vertAlign w:val="superscript"/>
                <w:lang w:bidi="ar"/>
              </w:rPr>
              <w:t>1</w:t>
            </w:r>
          </w:p>
        </w:tc>
      </w:tr>
      <w:tr w14:paraId="5BF2AF34">
        <w:tblPrEx>
          <w:tblCellMar>
            <w:top w:w="0" w:type="dxa"/>
            <w:left w:w="0" w:type="dxa"/>
            <w:bottom w:w="0" w:type="dxa"/>
            <w:right w:w="0" w:type="dxa"/>
          </w:tblCellMar>
        </w:tblPrEx>
        <w:trPr>
          <w:trHeight w:val="511"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F327E0">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矿山名称</w:t>
            </w:r>
          </w:p>
        </w:tc>
        <w:tc>
          <w:tcPr>
            <w:tcW w:w="705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2F28F7">
            <w:pPr>
              <w:jc w:val="center"/>
              <w:rPr>
                <w:rFonts w:ascii="仿宋" w:hAnsi="仿宋" w:eastAsia="仿宋" w:cs="宋体"/>
                <w:color w:val="auto"/>
                <w:sz w:val="24"/>
                <w:szCs w:val="24"/>
              </w:rPr>
            </w:pPr>
          </w:p>
        </w:tc>
      </w:tr>
      <w:tr w14:paraId="1185298E">
        <w:tblPrEx>
          <w:tblCellMar>
            <w:top w:w="0" w:type="dxa"/>
            <w:left w:w="0" w:type="dxa"/>
            <w:bottom w:w="0" w:type="dxa"/>
            <w:right w:w="0" w:type="dxa"/>
          </w:tblCellMar>
        </w:tblPrEx>
        <w:trPr>
          <w:trHeight w:val="511"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6A5BA4">
            <w:pPr>
              <w:jc w:val="center"/>
              <w:textAlignment w:val="center"/>
              <w:rPr>
                <w:rFonts w:ascii="仿宋" w:hAnsi="仿宋" w:eastAsia="仿宋" w:cs="宋体"/>
                <w:color w:val="auto"/>
                <w:kern w:val="0"/>
                <w:sz w:val="24"/>
                <w:szCs w:val="24"/>
                <w:lang w:bidi="ar"/>
              </w:rPr>
            </w:pPr>
            <w:r>
              <w:rPr>
                <w:rFonts w:hint="eastAsia" w:ascii="仿宋" w:hAnsi="仿宋" w:eastAsia="仿宋" w:cs="宋体"/>
                <w:color w:val="auto"/>
                <w:kern w:val="0"/>
                <w:sz w:val="24"/>
                <w:szCs w:val="24"/>
                <w:lang w:bidi="ar"/>
              </w:rPr>
              <w:t>采矿权人</w:t>
            </w:r>
          </w:p>
        </w:tc>
        <w:tc>
          <w:tcPr>
            <w:tcW w:w="705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6A4B02">
            <w:pPr>
              <w:jc w:val="center"/>
              <w:rPr>
                <w:rFonts w:ascii="仿宋" w:hAnsi="仿宋" w:eastAsia="仿宋" w:cs="宋体"/>
                <w:color w:val="auto"/>
                <w:sz w:val="24"/>
                <w:szCs w:val="24"/>
              </w:rPr>
            </w:pPr>
          </w:p>
        </w:tc>
      </w:tr>
      <w:tr w14:paraId="62002524">
        <w:tblPrEx>
          <w:tblCellMar>
            <w:top w:w="0" w:type="dxa"/>
            <w:left w:w="0" w:type="dxa"/>
            <w:bottom w:w="0" w:type="dxa"/>
            <w:right w:w="0" w:type="dxa"/>
          </w:tblCellMar>
        </w:tblPrEx>
        <w:trPr>
          <w:trHeight w:val="438"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8A3DCA">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采矿许可证号</w:t>
            </w:r>
          </w:p>
        </w:tc>
        <w:tc>
          <w:tcPr>
            <w:tcW w:w="2029"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4DF45766">
            <w:pPr>
              <w:jc w:val="center"/>
              <w:rPr>
                <w:rFonts w:ascii="仿宋" w:hAnsi="仿宋" w:eastAsia="仿宋" w:cs="宋体"/>
                <w:color w:val="auto"/>
                <w:sz w:val="24"/>
                <w:szCs w:val="24"/>
              </w:rPr>
            </w:pPr>
          </w:p>
        </w:tc>
        <w:tc>
          <w:tcPr>
            <w:tcW w:w="258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7DEECD06">
            <w:pPr>
              <w:jc w:val="center"/>
              <w:textAlignment w:val="center"/>
              <w:rPr>
                <w:rFonts w:ascii="仿宋" w:hAnsi="仿宋" w:eastAsia="仿宋"/>
                <w:color w:val="auto"/>
                <w:sz w:val="24"/>
                <w:szCs w:val="24"/>
              </w:rPr>
            </w:pPr>
            <w:r>
              <w:rPr>
                <w:rFonts w:hint="eastAsia" w:ascii="仿宋" w:hAnsi="仿宋" w:eastAsia="仿宋" w:cs="宋体"/>
                <w:color w:val="auto"/>
                <w:kern w:val="0"/>
                <w:sz w:val="24"/>
                <w:szCs w:val="24"/>
                <w:lang w:bidi="ar"/>
              </w:rPr>
              <w:t>所属行业</w:t>
            </w:r>
          </w:p>
        </w:tc>
        <w:tc>
          <w:tcPr>
            <w:tcW w:w="2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C4ECBD">
            <w:pPr>
              <w:jc w:val="center"/>
              <w:rPr>
                <w:rFonts w:ascii="仿宋" w:hAnsi="仿宋" w:eastAsia="仿宋"/>
                <w:color w:val="auto"/>
                <w:sz w:val="24"/>
                <w:szCs w:val="24"/>
              </w:rPr>
            </w:pPr>
          </w:p>
        </w:tc>
      </w:tr>
      <w:tr w14:paraId="166F14BE">
        <w:tblPrEx>
          <w:tblCellMar>
            <w:top w:w="0" w:type="dxa"/>
            <w:left w:w="0" w:type="dxa"/>
            <w:bottom w:w="0" w:type="dxa"/>
            <w:right w:w="0" w:type="dxa"/>
          </w:tblCellMar>
        </w:tblPrEx>
        <w:trPr>
          <w:trHeight w:val="438"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E90B6D">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统一社会信用代码</w:t>
            </w:r>
          </w:p>
        </w:tc>
        <w:tc>
          <w:tcPr>
            <w:tcW w:w="2029"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274B8C5C">
            <w:pPr>
              <w:jc w:val="center"/>
              <w:rPr>
                <w:rFonts w:ascii="仿宋" w:hAnsi="仿宋" w:eastAsia="仿宋" w:cs="宋体"/>
                <w:color w:val="auto"/>
                <w:sz w:val="24"/>
                <w:szCs w:val="24"/>
              </w:rPr>
            </w:pPr>
          </w:p>
        </w:tc>
        <w:tc>
          <w:tcPr>
            <w:tcW w:w="2586" w:type="dxa"/>
            <w:tcBorders>
              <w:top w:val="single" w:color="000000" w:sz="4" w:space="0"/>
              <w:left w:val="single" w:color="auto" w:sz="4" w:space="0"/>
              <w:bottom w:val="single" w:color="000000" w:sz="4" w:space="0"/>
              <w:right w:val="single" w:color="auto" w:sz="4" w:space="0"/>
            </w:tcBorders>
            <w:vAlign w:val="center"/>
          </w:tcPr>
          <w:p w14:paraId="2719D4D7">
            <w:pPr>
              <w:jc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地址</w:t>
            </w:r>
          </w:p>
        </w:tc>
        <w:tc>
          <w:tcPr>
            <w:tcW w:w="2444" w:type="dxa"/>
            <w:tcBorders>
              <w:top w:val="single" w:color="000000" w:sz="4" w:space="0"/>
              <w:left w:val="single" w:color="auto" w:sz="4" w:space="0"/>
              <w:bottom w:val="single" w:color="000000" w:sz="4" w:space="0"/>
              <w:right w:val="single" w:color="000000" w:sz="4" w:space="0"/>
            </w:tcBorders>
            <w:vAlign w:val="center"/>
          </w:tcPr>
          <w:p w14:paraId="49069BD9">
            <w:pPr>
              <w:jc w:val="center"/>
              <w:rPr>
                <w:rFonts w:ascii="仿宋" w:hAnsi="仿宋" w:eastAsia="仿宋" w:cs="宋体"/>
                <w:color w:val="auto"/>
                <w:sz w:val="24"/>
                <w:szCs w:val="24"/>
              </w:rPr>
            </w:pPr>
          </w:p>
        </w:tc>
      </w:tr>
      <w:tr w14:paraId="3B6115BD">
        <w:tblPrEx>
          <w:tblCellMar>
            <w:top w:w="0" w:type="dxa"/>
            <w:left w:w="0" w:type="dxa"/>
            <w:bottom w:w="0" w:type="dxa"/>
            <w:right w:w="0" w:type="dxa"/>
          </w:tblCellMar>
        </w:tblPrEx>
        <w:trPr>
          <w:trHeight w:val="438"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8DD74C">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经济类型</w:t>
            </w:r>
          </w:p>
        </w:tc>
        <w:tc>
          <w:tcPr>
            <w:tcW w:w="20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DC216D">
            <w:pPr>
              <w:jc w:val="center"/>
              <w:rPr>
                <w:rFonts w:ascii="仿宋" w:hAnsi="仿宋" w:eastAsia="仿宋" w:cs="宋体"/>
                <w:color w:val="auto"/>
                <w:sz w:val="24"/>
                <w:szCs w:val="24"/>
              </w:rPr>
            </w:pPr>
          </w:p>
        </w:tc>
        <w:tc>
          <w:tcPr>
            <w:tcW w:w="25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86E5C3">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从业人数</w:t>
            </w:r>
          </w:p>
        </w:tc>
        <w:tc>
          <w:tcPr>
            <w:tcW w:w="2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D98370">
            <w:pPr>
              <w:jc w:val="center"/>
              <w:rPr>
                <w:rFonts w:ascii="仿宋" w:hAnsi="仿宋" w:eastAsia="仿宋" w:cs="宋体"/>
                <w:color w:val="auto"/>
                <w:sz w:val="24"/>
                <w:szCs w:val="24"/>
              </w:rPr>
            </w:pPr>
          </w:p>
        </w:tc>
      </w:tr>
      <w:tr w14:paraId="7FECF229">
        <w:tblPrEx>
          <w:tblCellMar>
            <w:top w:w="0" w:type="dxa"/>
            <w:left w:w="0" w:type="dxa"/>
            <w:bottom w:w="0" w:type="dxa"/>
            <w:right w:w="0" w:type="dxa"/>
          </w:tblCellMar>
        </w:tblPrEx>
        <w:trPr>
          <w:trHeight w:val="438"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9B7338">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开采矿种</w:t>
            </w:r>
          </w:p>
        </w:tc>
        <w:tc>
          <w:tcPr>
            <w:tcW w:w="20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70DB45">
            <w:pPr>
              <w:jc w:val="center"/>
              <w:rPr>
                <w:rFonts w:ascii="仿宋" w:hAnsi="仿宋" w:eastAsia="仿宋" w:cs="宋体"/>
                <w:color w:val="auto"/>
                <w:sz w:val="24"/>
                <w:szCs w:val="24"/>
              </w:rPr>
            </w:pPr>
          </w:p>
        </w:tc>
        <w:tc>
          <w:tcPr>
            <w:tcW w:w="25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148A8D">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开采方式</w:t>
            </w:r>
          </w:p>
        </w:tc>
        <w:tc>
          <w:tcPr>
            <w:tcW w:w="2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05C294">
            <w:pPr>
              <w:jc w:val="center"/>
              <w:rPr>
                <w:rFonts w:ascii="仿宋" w:hAnsi="仿宋" w:eastAsia="仿宋" w:cs="宋体"/>
                <w:color w:val="auto"/>
                <w:sz w:val="24"/>
                <w:szCs w:val="24"/>
              </w:rPr>
            </w:pPr>
          </w:p>
        </w:tc>
      </w:tr>
      <w:tr w14:paraId="79E0C388">
        <w:tblPrEx>
          <w:tblCellMar>
            <w:top w:w="0" w:type="dxa"/>
            <w:left w:w="0" w:type="dxa"/>
            <w:bottom w:w="0" w:type="dxa"/>
            <w:right w:w="0" w:type="dxa"/>
          </w:tblCellMar>
        </w:tblPrEx>
        <w:trPr>
          <w:trHeight w:val="438"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E9FB2E">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矿山规模</w:t>
            </w:r>
          </w:p>
        </w:tc>
        <w:tc>
          <w:tcPr>
            <w:tcW w:w="20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6040B8">
            <w:pPr>
              <w:jc w:val="center"/>
              <w:rPr>
                <w:rFonts w:ascii="仿宋" w:hAnsi="仿宋" w:eastAsia="仿宋" w:cs="宋体"/>
                <w:color w:val="auto"/>
                <w:sz w:val="24"/>
                <w:szCs w:val="24"/>
              </w:rPr>
            </w:pPr>
          </w:p>
        </w:tc>
        <w:tc>
          <w:tcPr>
            <w:tcW w:w="25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559836">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生产规模</w:t>
            </w:r>
          </w:p>
        </w:tc>
        <w:tc>
          <w:tcPr>
            <w:tcW w:w="2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64E082">
            <w:pPr>
              <w:jc w:val="center"/>
              <w:rPr>
                <w:rFonts w:ascii="仿宋" w:hAnsi="仿宋" w:eastAsia="仿宋" w:cs="宋体"/>
                <w:color w:val="auto"/>
                <w:sz w:val="24"/>
                <w:szCs w:val="24"/>
              </w:rPr>
            </w:pPr>
          </w:p>
        </w:tc>
      </w:tr>
      <w:tr w14:paraId="758F58A8">
        <w:tblPrEx>
          <w:tblCellMar>
            <w:top w:w="0" w:type="dxa"/>
            <w:left w:w="0" w:type="dxa"/>
            <w:bottom w:w="0" w:type="dxa"/>
            <w:right w:w="0" w:type="dxa"/>
          </w:tblCellMar>
        </w:tblPrEx>
        <w:trPr>
          <w:trHeight w:val="438"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FABAD4">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发证机关</w:t>
            </w:r>
          </w:p>
        </w:tc>
        <w:tc>
          <w:tcPr>
            <w:tcW w:w="20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487D26">
            <w:pPr>
              <w:jc w:val="center"/>
              <w:rPr>
                <w:rFonts w:ascii="仿宋" w:hAnsi="仿宋" w:eastAsia="仿宋" w:cs="宋体"/>
                <w:color w:val="auto"/>
                <w:sz w:val="24"/>
                <w:szCs w:val="24"/>
              </w:rPr>
            </w:pPr>
          </w:p>
        </w:tc>
        <w:tc>
          <w:tcPr>
            <w:tcW w:w="25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172DDC">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矿区面积</w:t>
            </w:r>
          </w:p>
        </w:tc>
        <w:tc>
          <w:tcPr>
            <w:tcW w:w="2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82B6E1">
            <w:pPr>
              <w:jc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 xml:space="preserve">        </w:t>
            </w:r>
            <w:r>
              <w:rPr>
                <w:rFonts w:ascii="仿宋" w:hAnsi="仿宋" w:eastAsia="仿宋" w:cs="宋体"/>
                <w:color w:val="auto"/>
                <w:kern w:val="0"/>
                <w:sz w:val="24"/>
                <w:szCs w:val="24"/>
                <w:lang w:bidi="ar"/>
              </w:rPr>
              <w:t>m</w:t>
            </w:r>
            <w:r>
              <w:rPr>
                <w:rFonts w:ascii="仿宋" w:hAnsi="仿宋" w:eastAsia="仿宋" w:cs="宋体"/>
                <w:color w:val="auto"/>
                <w:kern w:val="0"/>
                <w:sz w:val="24"/>
                <w:szCs w:val="24"/>
                <w:vertAlign w:val="superscript"/>
                <w:lang w:bidi="ar"/>
              </w:rPr>
              <w:t>2</w:t>
            </w:r>
          </w:p>
        </w:tc>
      </w:tr>
      <w:tr w14:paraId="5EC758BF">
        <w:tblPrEx>
          <w:tblCellMar>
            <w:top w:w="0" w:type="dxa"/>
            <w:left w:w="0" w:type="dxa"/>
            <w:bottom w:w="0" w:type="dxa"/>
            <w:right w:w="0" w:type="dxa"/>
          </w:tblCellMar>
        </w:tblPrEx>
        <w:trPr>
          <w:trHeight w:val="438"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72CF1C">
            <w:pPr>
              <w:jc w:val="center"/>
              <w:textAlignment w:val="center"/>
              <w:rPr>
                <w:rFonts w:ascii="仿宋" w:hAnsi="仿宋" w:eastAsia="仿宋" w:cs="宋体"/>
                <w:color w:val="auto"/>
                <w:kern w:val="0"/>
                <w:sz w:val="24"/>
                <w:szCs w:val="24"/>
                <w:lang w:bidi="ar"/>
              </w:rPr>
            </w:pPr>
            <w:r>
              <w:rPr>
                <w:rFonts w:hint="eastAsia" w:ascii="仿宋" w:hAnsi="仿宋" w:eastAsia="仿宋" w:cs="宋体"/>
                <w:color w:val="auto"/>
                <w:kern w:val="0"/>
                <w:sz w:val="24"/>
                <w:szCs w:val="24"/>
                <w:lang w:bidi="ar"/>
              </w:rPr>
              <w:t>采矿证有效期</w:t>
            </w:r>
          </w:p>
        </w:tc>
        <w:tc>
          <w:tcPr>
            <w:tcW w:w="20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6A8557">
            <w:pPr>
              <w:jc w:val="center"/>
              <w:rPr>
                <w:rFonts w:ascii="仿宋" w:hAnsi="仿宋" w:eastAsia="仿宋" w:cs="宋体"/>
                <w:color w:val="auto"/>
                <w:sz w:val="24"/>
                <w:szCs w:val="24"/>
              </w:rPr>
            </w:pPr>
          </w:p>
        </w:tc>
        <w:tc>
          <w:tcPr>
            <w:tcW w:w="25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416322">
            <w:pPr>
              <w:jc w:val="center"/>
              <w:textAlignment w:val="center"/>
              <w:rPr>
                <w:rFonts w:ascii="仿宋" w:hAnsi="仿宋" w:eastAsia="仿宋" w:cs="宋体"/>
                <w:color w:val="auto"/>
                <w:kern w:val="0"/>
                <w:sz w:val="24"/>
                <w:szCs w:val="24"/>
                <w:lang w:bidi="ar"/>
              </w:rPr>
            </w:pPr>
            <w:r>
              <w:rPr>
                <w:rFonts w:hint="eastAsia" w:ascii="仿宋" w:hAnsi="仿宋" w:eastAsia="仿宋" w:cs="宋体"/>
                <w:color w:val="auto"/>
                <w:kern w:val="0"/>
                <w:sz w:val="24"/>
                <w:szCs w:val="24"/>
                <w:lang w:bidi="ar"/>
              </w:rPr>
              <w:t>第三方评估得分</w:t>
            </w:r>
          </w:p>
        </w:tc>
        <w:tc>
          <w:tcPr>
            <w:tcW w:w="2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630D6D">
            <w:pPr>
              <w:jc w:val="center"/>
              <w:rPr>
                <w:rFonts w:ascii="仿宋" w:hAnsi="仿宋" w:eastAsia="仿宋" w:cs="宋体"/>
                <w:color w:val="auto"/>
                <w:kern w:val="0"/>
                <w:sz w:val="24"/>
                <w:szCs w:val="24"/>
                <w:lang w:bidi="ar"/>
              </w:rPr>
            </w:pPr>
          </w:p>
        </w:tc>
      </w:tr>
      <w:tr w14:paraId="6119FA5C">
        <w:tblPrEx>
          <w:tblCellMar>
            <w:top w:w="0" w:type="dxa"/>
            <w:left w:w="0" w:type="dxa"/>
            <w:bottom w:w="0" w:type="dxa"/>
            <w:right w:w="0" w:type="dxa"/>
          </w:tblCellMar>
        </w:tblPrEx>
        <w:trPr>
          <w:trHeight w:val="438"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313672">
            <w:pPr>
              <w:jc w:val="center"/>
              <w:textAlignment w:val="center"/>
              <w:rPr>
                <w:rFonts w:ascii="仿宋" w:hAnsi="仿宋" w:eastAsia="仿宋" w:cs="宋体"/>
                <w:color w:val="auto"/>
                <w:kern w:val="0"/>
                <w:sz w:val="24"/>
                <w:szCs w:val="24"/>
                <w:lang w:bidi="ar"/>
              </w:rPr>
            </w:pPr>
          </w:p>
        </w:tc>
        <w:tc>
          <w:tcPr>
            <w:tcW w:w="20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4F1A28">
            <w:pPr>
              <w:jc w:val="center"/>
              <w:rPr>
                <w:rFonts w:ascii="仿宋" w:hAnsi="仿宋" w:eastAsia="仿宋" w:cs="宋体"/>
                <w:color w:val="auto"/>
                <w:sz w:val="24"/>
                <w:szCs w:val="24"/>
              </w:rPr>
            </w:pPr>
          </w:p>
        </w:tc>
        <w:tc>
          <w:tcPr>
            <w:tcW w:w="25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4E4517">
            <w:pPr>
              <w:jc w:val="center"/>
              <w:textAlignment w:val="center"/>
              <w:rPr>
                <w:rFonts w:ascii="仿宋" w:hAnsi="仿宋" w:eastAsia="仿宋" w:cs="宋体"/>
                <w:color w:val="auto"/>
                <w:kern w:val="0"/>
                <w:sz w:val="24"/>
                <w:szCs w:val="24"/>
                <w:lang w:bidi="ar"/>
              </w:rPr>
            </w:pPr>
          </w:p>
        </w:tc>
        <w:tc>
          <w:tcPr>
            <w:tcW w:w="2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ACB147">
            <w:pPr>
              <w:jc w:val="center"/>
              <w:rPr>
                <w:rFonts w:ascii="仿宋" w:hAnsi="仿宋" w:eastAsia="仿宋" w:cs="宋体"/>
                <w:color w:val="auto"/>
                <w:kern w:val="0"/>
                <w:sz w:val="24"/>
                <w:szCs w:val="24"/>
                <w:lang w:bidi="ar"/>
              </w:rPr>
            </w:pPr>
          </w:p>
        </w:tc>
      </w:tr>
      <w:tr w14:paraId="442EB79F">
        <w:tblPrEx>
          <w:tblCellMar>
            <w:top w:w="0" w:type="dxa"/>
            <w:left w:w="0" w:type="dxa"/>
            <w:bottom w:w="0" w:type="dxa"/>
            <w:right w:w="0" w:type="dxa"/>
          </w:tblCellMar>
        </w:tblPrEx>
        <w:trPr>
          <w:trHeight w:val="438" w:hRule="atLeast"/>
          <w:jc w:val="center"/>
        </w:trPr>
        <w:tc>
          <w:tcPr>
            <w:tcW w:w="970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9B5A51">
            <w:pPr>
              <w:jc w:val="center"/>
              <w:textAlignment w:val="center"/>
              <w:rPr>
                <w:rFonts w:ascii="Times New Roman" w:hAnsi="Times New Roman" w:eastAsia="黑体" w:cs="黑体"/>
                <w:color w:val="auto"/>
                <w:sz w:val="28"/>
                <w:szCs w:val="28"/>
              </w:rPr>
            </w:pPr>
            <w:r>
              <w:rPr>
                <w:rFonts w:hint="eastAsia" w:ascii="Times New Roman" w:hAnsi="Times New Roman" w:eastAsia="黑体" w:cs="黑体"/>
                <w:color w:val="auto"/>
                <w:kern w:val="0"/>
                <w:sz w:val="32"/>
                <w:szCs w:val="32"/>
                <w:lang w:bidi="ar"/>
              </w:rPr>
              <w:t>矿山联系方式</w:t>
            </w:r>
            <w:r>
              <w:rPr>
                <w:rFonts w:hint="eastAsia" w:ascii="Times New Roman" w:hAnsi="Times New Roman" w:eastAsia="黑体" w:cs="黑体"/>
                <w:color w:val="auto"/>
                <w:kern w:val="0"/>
                <w:sz w:val="28"/>
                <w:szCs w:val="28"/>
                <w:vertAlign w:val="superscript"/>
                <w:lang w:bidi="ar"/>
              </w:rPr>
              <w:t>2</w:t>
            </w:r>
          </w:p>
        </w:tc>
      </w:tr>
      <w:tr w14:paraId="08556C74">
        <w:tblPrEx>
          <w:tblCellMar>
            <w:top w:w="0" w:type="dxa"/>
            <w:left w:w="0" w:type="dxa"/>
            <w:bottom w:w="0" w:type="dxa"/>
            <w:right w:w="0" w:type="dxa"/>
          </w:tblCellMar>
        </w:tblPrEx>
        <w:trPr>
          <w:trHeight w:val="438"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FF7702">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法定代表人</w:t>
            </w:r>
          </w:p>
        </w:tc>
        <w:tc>
          <w:tcPr>
            <w:tcW w:w="20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EDFA36">
            <w:pPr>
              <w:jc w:val="center"/>
              <w:rPr>
                <w:rFonts w:ascii="仿宋" w:hAnsi="仿宋" w:eastAsia="仿宋" w:cs="宋体"/>
                <w:color w:val="auto"/>
                <w:sz w:val="24"/>
                <w:szCs w:val="24"/>
              </w:rPr>
            </w:pPr>
          </w:p>
        </w:tc>
        <w:tc>
          <w:tcPr>
            <w:tcW w:w="25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4ED563">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联 系 人</w:t>
            </w:r>
          </w:p>
        </w:tc>
        <w:tc>
          <w:tcPr>
            <w:tcW w:w="2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C1B39B">
            <w:pPr>
              <w:jc w:val="center"/>
              <w:rPr>
                <w:rFonts w:ascii="仿宋" w:hAnsi="仿宋" w:eastAsia="仿宋" w:cs="宋体"/>
                <w:color w:val="auto"/>
                <w:szCs w:val="21"/>
              </w:rPr>
            </w:pPr>
          </w:p>
        </w:tc>
      </w:tr>
      <w:tr w14:paraId="2ACDF67E">
        <w:tblPrEx>
          <w:tblCellMar>
            <w:top w:w="0" w:type="dxa"/>
            <w:left w:w="0" w:type="dxa"/>
            <w:bottom w:w="0" w:type="dxa"/>
            <w:right w:w="0" w:type="dxa"/>
          </w:tblCellMar>
        </w:tblPrEx>
        <w:trPr>
          <w:trHeight w:val="438"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F70FAB">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通讯地址</w:t>
            </w:r>
          </w:p>
        </w:tc>
        <w:tc>
          <w:tcPr>
            <w:tcW w:w="20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65F680">
            <w:pPr>
              <w:jc w:val="center"/>
              <w:rPr>
                <w:rFonts w:ascii="仿宋" w:hAnsi="仿宋" w:eastAsia="仿宋" w:cs="宋体"/>
                <w:color w:val="auto"/>
                <w:sz w:val="24"/>
                <w:szCs w:val="24"/>
              </w:rPr>
            </w:pPr>
          </w:p>
        </w:tc>
        <w:tc>
          <w:tcPr>
            <w:tcW w:w="25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34C3E2">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电子邮箱</w:t>
            </w:r>
          </w:p>
        </w:tc>
        <w:tc>
          <w:tcPr>
            <w:tcW w:w="2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A9E22D">
            <w:pPr>
              <w:jc w:val="center"/>
              <w:rPr>
                <w:rFonts w:ascii="仿宋" w:hAnsi="仿宋" w:eastAsia="仿宋" w:cs="宋体"/>
                <w:color w:val="auto"/>
                <w:szCs w:val="21"/>
              </w:rPr>
            </w:pPr>
          </w:p>
        </w:tc>
      </w:tr>
      <w:tr w14:paraId="60FEA546">
        <w:tblPrEx>
          <w:tblCellMar>
            <w:top w:w="0" w:type="dxa"/>
            <w:left w:w="0" w:type="dxa"/>
            <w:bottom w:w="0" w:type="dxa"/>
            <w:right w:w="0" w:type="dxa"/>
          </w:tblCellMar>
        </w:tblPrEx>
        <w:trPr>
          <w:trHeight w:val="438"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0E4E46">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固定电话</w:t>
            </w:r>
          </w:p>
        </w:tc>
        <w:tc>
          <w:tcPr>
            <w:tcW w:w="20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81156F">
            <w:pPr>
              <w:jc w:val="center"/>
              <w:rPr>
                <w:rFonts w:ascii="仿宋" w:hAnsi="仿宋" w:eastAsia="仿宋" w:cs="宋体"/>
                <w:color w:val="auto"/>
                <w:sz w:val="24"/>
                <w:szCs w:val="24"/>
              </w:rPr>
            </w:pPr>
          </w:p>
        </w:tc>
        <w:tc>
          <w:tcPr>
            <w:tcW w:w="25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3E1149">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传    真</w:t>
            </w:r>
          </w:p>
        </w:tc>
        <w:tc>
          <w:tcPr>
            <w:tcW w:w="2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65EE34">
            <w:pPr>
              <w:jc w:val="center"/>
              <w:rPr>
                <w:rFonts w:ascii="仿宋" w:hAnsi="仿宋" w:eastAsia="仿宋" w:cs="宋体"/>
                <w:color w:val="auto"/>
                <w:szCs w:val="21"/>
              </w:rPr>
            </w:pPr>
          </w:p>
        </w:tc>
      </w:tr>
      <w:tr w14:paraId="32A2DED8">
        <w:tblPrEx>
          <w:tblCellMar>
            <w:top w:w="0" w:type="dxa"/>
            <w:left w:w="0" w:type="dxa"/>
            <w:bottom w:w="0" w:type="dxa"/>
            <w:right w:w="0" w:type="dxa"/>
          </w:tblCellMar>
        </w:tblPrEx>
        <w:trPr>
          <w:trHeight w:val="438"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DD21CA">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手    机</w:t>
            </w:r>
          </w:p>
        </w:tc>
        <w:tc>
          <w:tcPr>
            <w:tcW w:w="20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036357">
            <w:pPr>
              <w:jc w:val="center"/>
              <w:rPr>
                <w:rFonts w:ascii="仿宋" w:hAnsi="仿宋" w:eastAsia="仿宋" w:cs="宋体"/>
                <w:color w:val="auto"/>
                <w:sz w:val="24"/>
                <w:szCs w:val="24"/>
              </w:rPr>
            </w:pPr>
          </w:p>
        </w:tc>
        <w:tc>
          <w:tcPr>
            <w:tcW w:w="25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CCD00E">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邮    编</w:t>
            </w:r>
          </w:p>
        </w:tc>
        <w:tc>
          <w:tcPr>
            <w:tcW w:w="2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C5323C">
            <w:pPr>
              <w:jc w:val="center"/>
              <w:rPr>
                <w:rFonts w:ascii="仿宋" w:hAnsi="仿宋" w:eastAsia="仿宋" w:cs="宋体"/>
                <w:color w:val="auto"/>
                <w:szCs w:val="21"/>
              </w:rPr>
            </w:pPr>
          </w:p>
        </w:tc>
      </w:tr>
      <w:tr w14:paraId="7CAF7D20">
        <w:tblPrEx>
          <w:tblCellMar>
            <w:top w:w="0" w:type="dxa"/>
            <w:left w:w="0" w:type="dxa"/>
            <w:bottom w:w="0" w:type="dxa"/>
            <w:right w:w="0" w:type="dxa"/>
          </w:tblCellMar>
        </w:tblPrEx>
        <w:trPr>
          <w:trHeight w:val="438" w:hRule="atLeast"/>
          <w:jc w:val="center"/>
        </w:trPr>
        <w:tc>
          <w:tcPr>
            <w:tcW w:w="970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000B64">
            <w:pPr>
              <w:jc w:val="center"/>
              <w:textAlignment w:val="center"/>
              <w:rPr>
                <w:rFonts w:ascii="Times New Roman" w:hAnsi="Times New Roman" w:eastAsia="黑体" w:cs="黑体"/>
                <w:color w:val="auto"/>
                <w:sz w:val="28"/>
                <w:szCs w:val="28"/>
              </w:rPr>
            </w:pPr>
            <w:r>
              <w:rPr>
                <w:rFonts w:hint="eastAsia" w:ascii="Times New Roman" w:hAnsi="Times New Roman" w:eastAsia="黑体" w:cs="黑体"/>
                <w:color w:val="auto"/>
                <w:kern w:val="0"/>
                <w:sz w:val="32"/>
                <w:szCs w:val="32"/>
                <w:lang w:bidi="ar"/>
              </w:rPr>
              <w:t xml:space="preserve"> 绿色矿山建设情况</w:t>
            </w:r>
            <w:r>
              <w:rPr>
                <w:rFonts w:hint="eastAsia" w:ascii="Times New Roman" w:hAnsi="Times New Roman" w:eastAsia="黑体" w:cs="黑体"/>
                <w:color w:val="auto"/>
                <w:kern w:val="0"/>
                <w:sz w:val="28"/>
                <w:szCs w:val="28"/>
                <w:vertAlign w:val="superscript"/>
                <w:lang w:bidi="ar"/>
              </w:rPr>
              <w:t>3</w:t>
            </w:r>
          </w:p>
        </w:tc>
      </w:tr>
      <w:tr w14:paraId="2FB95C39">
        <w:trPr>
          <w:trHeight w:val="493"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DA0850">
            <w:pPr>
              <w:jc w:val="center"/>
              <w:textAlignment w:val="center"/>
              <w:rPr>
                <w:rFonts w:ascii="仿宋" w:hAnsi="仿宋" w:eastAsia="仿宋" w:cs="宋体"/>
                <w:color w:val="auto"/>
                <w:kern w:val="0"/>
                <w:sz w:val="24"/>
                <w:szCs w:val="24"/>
                <w:lang w:bidi="ar"/>
              </w:rPr>
            </w:pPr>
            <w:r>
              <w:rPr>
                <w:rFonts w:hint="eastAsia" w:ascii="仿宋" w:hAnsi="仿宋" w:eastAsia="仿宋" w:cs="宋体"/>
                <w:color w:val="auto"/>
                <w:kern w:val="0"/>
                <w:sz w:val="24"/>
                <w:szCs w:val="24"/>
                <w:lang w:bidi="ar"/>
              </w:rPr>
              <w:t>矿区环境</w:t>
            </w:r>
          </w:p>
        </w:tc>
        <w:tc>
          <w:tcPr>
            <w:tcW w:w="705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92B6C5">
            <w:pPr>
              <w:jc w:val="left"/>
              <w:rPr>
                <w:rFonts w:ascii="仿宋" w:hAnsi="仿宋" w:eastAsia="仿宋" w:cs="宋体"/>
                <w:color w:val="auto"/>
                <w:sz w:val="24"/>
                <w:szCs w:val="24"/>
              </w:rPr>
            </w:pPr>
            <w:r>
              <w:rPr>
                <w:rFonts w:hint="eastAsia" w:ascii="仿宋" w:hAnsi="仿宋" w:eastAsia="仿宋" w:cs="宋体"/>
                <w:color w:val="auto"/>
                <w:kern w:val="0"/>
                <w:sz w:val="24"/>
                <w:szCs w:val="24"/>
                <w:lang w:bidi="ar"/>
              </w:rPr>
              <w:t>概述矿区环境，分别介绍功能分区、配备套设施方面亮点。</w:t>
            </w:r>
          </w:p>
        </w:tc>
      </w:tr>
      <w:tr w14:paraId="67949601">
        <w:tblPrEx>
          <w:tblCellMar>
            <w:top w:w="0" w:type="dxa"/>
            <w:left w:w="0" w:type="dxa"/>
            <w:bottom w:w="0" w:type="dxa"/>
            <w:right w:w="0" w:type="dxa"/>
          </w:tblCellMar>
        </w:tblPrEx>
        <w:trPr>
          <w:trHeight w:val="438"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BB16E9">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资源开采</w:t>
            </w:r>
          </w:p>
        </w:tc>
        <w:tc>
          <w:tcPr>
            <w:tcW w:w="705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331CB3">
            <w:pPr>
              <w:jc w:val="left"/>
              <w:rPr>
                <w:rFonts w:ascii="仿宋" w:hAnsi="仿宋" w:eastAsia="仿宋" w:cs="宋体"/>
                <w:color w:val="auto"/>
                <w:sz w:val="24"/>
                <w:szCs w:val="24"/>
              </w:rPr>
            </w:pPr>
            <w:r>
              <w:rPr>
                <w:rFonts w:hint="eastAsia" w:ascii="仿宋" w:hAnsi="仿宋" w:eastAsia="仿宋" w:cs="宋体"/>
                <w:color w:val="auto"/>
                <w:kern w:val="0"/>
                <w:sz w:val="24"/>
                <w:szCs w:val="24"/>
                <w:lang w:bidi="ar"/>
              </w:rPr>
              <w:t>概述开采方式、采选工艺技术。</w:t>
            </w:r>
          </w:p>
        </w:tc>
      </w:tr>
      <w:tr w14:paraId="58EA78E6">
        <w:tblPrEx>
          <w:tblCellMar>
            <w:top w:w="0" w:type="dxa"/>
            <w:left w:w="0" w:type="dxa"/>
            <w:bottom w:w="0" w:type="dxa"/>
            <w:right w:w="0" w:type="dxa"/>
          </w:tblCellMar>
        </w:tblPrEx>
        <w:trPr>
          <w:trHeight w:val="478"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013DEC">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资源综合利用</w:t>
            </w:r>
          </w:p>
        </w:tc>
        <w:tc>
          <w:tcPr>
            <w:tcW w:w="705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01F0E6">
            <w:pPr>
              <w:jc w:val="left"/>
              <w:rPr>
                <w:rFonts w:ascii="仿宋" w:hAnsi="仿宋" w:eastAsia="仿宋" w:cs="宋体"/>
                <w:color w:val="auto"/>
                <w:sz w:val="24"/>
                <w:szCs w:val="24"/>
              </w:rPr>
            </w:pPr>
            <w:r>
              <w:rPr>
                <w:rFonts w:hint="eastAsia" w:ascii="仿宋" w:hAnsi="仿宋" w:eastAsia="仿宋" w:cs="宋体"/>
                <w:color w:val="auto"/>
                <w:kern w:val="0"/>
                <w:sz w:val="24"/>
                <w:szCs w:val="24"/>
                <w:lang w:bidi="ar"/>
              </w:rPr>
              <w:t>概述</w:t>
            </w:r>
            <w:r>
              <w:rPr>
                <w:rFonts w:hint="eastAsia" w:ascii="仿宋" w:hAnsi="仿宋" w:eastAsia="仿宋" w:cs="宋体"/>
                <w:color w:val="auto"/>
                <w:sz w:val="24"/>
                <w:szCs w:val="24"/>
              </w:rPr>
              <w:t>共伴生资源、固体废弃物</w:t>
            </w:r>
            <w:r>
              <w:rPr>
                <w:rFonts w:hint="eastAsia" w:ascii="仿宋" w:hAnsi="仿宋" w:eastAsia="仿宋" w:cs="宋体"/>
                <w:color w:val="auto"/>
                <w:kern w:val="0"/>
                <w:sz w:val="24"/>
                <w:szCs w:val="24"/>
                <w:lang w:bidi="ar"/>
              </w:rPr>
              <w:t>利用</w:t>
            </w:r>
            <w:r>
              <w:rPr>
                <w:rFonts w:hint="eastAsia" w:ascii="仿宋" w:hAnsi="仿宋" w:eastAsia="仿宋" w:cs="宋体"/>
                <w:color w:val="auto"/>
                <w:sz w:val="24"/>
                <w:szCs w:val="24"/>
              </w:rPr>
              <w:t>、废水</w:t>
            </w:r>
            <w:r>
              <w:rPr>
                <w:rFonts w:hint="eastAsia" w:ascii="仿宋" w:hAnsi="仿宋" w:eastAsia="仿宋" w:cs="宋体"/>
                <w:color w:val="auto"/>
                <w:kern w:val="0"/>
                <w:sz w:val="24"/>
                <w:szCs w:val="24"/>
                <w:lang w:bidi="ar"/>
              </w:rPr>
              <w:t>利用等方面情况。</w:t>
            </w:r>
          </w:p>
        </w:tc>
      </w:tr>
      <w:tr w14:paraId="7556F7B4">
        <w:tblPrEx>
          <w:tblCellMar>
            <w:top w:w="0" w:type="dxa"/>
            <w:left w:w="0" w:type="dxa"/>
            <w:bottom w:w="0" w:type="dxa"/>
            <w:right w:w="0" w:type="dxa"/>
          </w:tblCellMar>
        </w:tblPrEx>
        <w:trPr>
          <w:trHeight w:val="438"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9E403B">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绿色低碳</w:t>
            </w:r>
          </w:p>
        </w:tc>
        <w:tc>
          <w:tcPr>
            <w:tcW w:w="705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200688">
            <w:pPr>
              <w:jc w:val="left"/>
              <w:rPr>
                <w:rFonts w:ascii="仿宋" w:hAnsi="仿宋" w:eastAsia="仿宋" w:cs="宋体"/>
                <w:color w:val="auto"/>
                <w:sz w:val="24"/>
                <w:szCs w:val="24"/>
              </w:rPr>
            </w:pPr>
            <w:r>
              <w:rPr>
                <w:rFonts w:hint="eastAsia" w:ascii="仿宋" w:hAnsi="仿宋" w:eastAsia="仿宋" w:cs="宋体"/>
                <w:color w:val="auto"/>
                <w:kern w:val="0"/>
                <w:sz w:val="24"/>
                <w:szCs w:val="24"/>
                <w:lang w:bidi="ar"/>
              </w:rPr>
              <w:t>概述</w:t>
            </w:r>
            <w:r>
              <w:rPr>
                <w:rFonts w:hint="eastAsia" w:ascii="仿宋" w:hAnsi="仿宋" w:eastAsia="仿宋" w:cs="宋体"/>
                <w:color w:val="auto"/>
                <w:sz w:val="24"/>
                <w:szCs w:val="24"/>
              </w:rPr>
              <w:t>节能降耗、固体废弃物排放、粉尘排放、废水排放、噪声排放等方面情况。</w:t>
            </w:r>
          </w:p>
        </w:tc>
      </w:tr>
      <w:tr w14:paraId="2B3315ED">
        <w:tblPrEx>
          <w:tblCellMar>
            <w:top w:w="0" w:type="dxa"/>
            <w:left w:w="0" w:type="dxa"/>
            <w:bottom w:w="0" w:type="dxa"/>
            <w:right w:w="0" w:type="dxa"/>
          </w:tblCellMar>
        </w:tblPrEx>
        <w:trPr>
          <w:trHeight w:val="485"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9CA069">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生态修复与环境治理</w:t>
            </w:r>
          </w:p>
        </w:tc>
        <w:tc>
          <w:tcPr>
            <w:tcW w:w="705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25EBFA">
            <w:pPr>
              <w:jc w:val="left"/>
              <w:rPr>
                <w:rFonts w:ascii="仿宋" w:hAnsi="仿宋" w:eastAsia="仿宋" w:cs="宋体"/>
                <w:color w:val="auto"/>
                <w:sz w:val="24"/>
                <w:szCs w:val="24"/>
              </w:rPr>
            </w:pPr>
            <w:r>
              <w:rPr>
                <w:rFonts w:hint="eastAsia" w:ascii="仿宋" w:hAnsi="仿宋" w:eastAsia="仿宋" w:cs="宋体"/>
                <w:color w:val="auto"/>
                <w:kern w:val="0"/>
                <w:sz w:val="24"/>
                <w:szCs w:val="24"/>
                <w:lang w:bidi="ar"/>
              </w:rPr>
              <w:t>概述生态修复及环境治理与土地复垦等方面情况。</w:t>
            </w:r>
          </w:p>
        </w:tc>
      </w:tr>
      <w:tr w14:paraId="15E93B58">
        <w:tblPrEx>
          <w:tblCellMar>
            <w:top w:w="0" w:type="dxa"/>
            <w:left w:w="0" w:type="dxa"/>
            <w:bottom w:w="0" w:type="dxa"/>
            <w:right w:w="0" w:type="dxa"/>
          </w:tblCellMar>
        </w:tblPrEx>
        <w:trPr>
          <w:trHeight w:val="470" w:hRule="atLeast"/>
          <w:jc w:val="center"/>
        </w:trPr>
        <w:tc>
          <w:tcPr>
            <w:tcW w:w="26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9F6B42">
            <w:pPr>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bidi="ar"/>
              </w:rPr>
              <w:t>科技创新与规范管理</w:t>
            </w:r>
          </w:p>
        </w:tc>
        <w:tc>
          <w:tcPr>
            <w:tcW w:w="705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4FA737">
            <w:pPr>
              <w:jc w:val="left"/>
              <w:rPr>
                <w:rFonts w:ascii="仿宋" w:hAnsi="仿宋" w:eastAsia="仿宋" w:cs="宋体"/>
                <w:color w:val="auto"/>
                <w:sz w:val="24"/>
                <w:szCs w:val="24"/>
              </w:rPr>
            </w:pPr>
            <w:r>
              <w:rPr>
                <w:rFonts w:hint="eastAsia" w:ascii="仿宋" w:hAnsi="仿宋" w:eastAsia="仿宋" w:cs="宋体"/>
                <w:color w:val="auto"/>
                <w:kern w:val="0"/>
                <w:sz w:val="24"/>
                <w:szCs w:val="24"/>
                <w:lang w:bidi="ar"/>
              </w:rPr>
              <w:t>概述科技创新、数字化矿山、企业规范管理等方面情况。</w:t>
            </w:r>
          </w:p>
        </w:tc>
      </w:tr>
    </w:tbl>
    <w:p w14:paraId="2D321314">
      <w:pPr>
        <w:rPr>
          <w:color w:val="auto"/>
        </w:rPr>
      </w:pPr>
      <w:r>
        <w:rPr>
          <w:color w:val="auto"/>
        </w:rPr>
        <w:br w:type="page"/>
      </w:r>
    </w:p>
    <w:p w14:paraId="5C48A70C">
      <w:pPr>
        <w:adjustRightInd w:val="0"/>
        <w:snapToGrid w:val="0"/>
        <w:spacing w:line="560" w:lineRule="exact"/>
        <w:rPr>
          <w:rFonts w:ascii="Times New Roman" w:hAnsi="Times New Roman" w:eastAsia="黑体"/>
          <w:color w:val="auto"/>
          <w:sz w:val="32"/>
        </w:rPr>
      </w:pPr>
      <w:r>
        <w:rPr>
          <w:rFonts w:hint="eastAsia" w:ascii="Times New Roman" w:hAnsi="Times New Roman" w:eastAsia="黑体"/>
          <w:color w:val="auto"/>
          <w:sz w:val="32"/>
        </w:rPr>
        <w:t>附件2</w:t>
      </w:r>
      <w:r>
        <w:rPr>
          <w:rFonts w:ascii="Times New Roman" w:hAnsi="Times New Roman" w:eastAsia="黑体"/>
          <w:color w:val="auto"/>
          <w:sz w:val="32"/>
        </w:rPr>
        <w:t>-</w:t>
      </w:r>
      <w:r>
        <w:rPr>
          <w:rFonts w:hint="eastAsia" w:ascii="Times New Roman" w:hAnsi="Times New Roman" w:eastAsia="黑体"/>
          <w:color w:val="auto"/>
          <w:sz w:val="32"/>
        </w:rPr>
        <w:t>6</w:t>
      </w:r>
    </w:p>
    <w:p w14:paraId="10D6B6A4">
      <w:pPr>
        <w:spacing w:before="312" w:beforeLines="100" w:after="312" w:afterLines="100"/>
        <w:jc w:val="center"/>
        <w:rPr>
          <w:rFonts w:ascii="黑体" w:hAnsi="黑体" w:eastAsia="黑体"/>
          <w:color w:val="auto"/>
          <w:sz w:val="32"/>
          <w:szCs w:val="32"/>
        </w:rPr>
      </w:pPr>
      <w:r>
        <w:rPr>
          <w:rFonts w:hint="eastAsia" w:ascii="宋体" w:hAnsi="宋体" w:eastAsia="宋体"/>
          <w:b/>
          <w:color w:val="auto"/>
          <w:sz w:val="44"/>
          <w:szCs w:val="44"/>
        </w:rPr>
        <w:t>辽宁省绿色矿山名录管理与申报指南</w:t>
      </w:r>
    </w:p>
    <w:p w14:paraId="37BA4F2C">
      <w:pPr>
        <w:ind w:firstLine="640" w:firstLineChars="200"/>
        <w:rPr>
          <w:rFonts w:ascii="仿宋" w:hAnsi="仿宋" w:eastAsia="仿宋"/>
          <w:color w:val="auto"/>
          <w:sz w:val="32"/>
          <w:szCs w:val="32"/>
        </w:rPr>
      </w:pPr>
      <w:r>
        <w:rPr>
          <w:rFonts w:hint="eastAsia" w:ascii="仿宋" w:hAnsi="仿宋" w:eastAsia="仿宋"/>
          <w:color w:val="auto"/>
          <w:sz w:val="32"/>
          <w:szCs w:val="32"/>
        </w:rPr>
        <w:t>按照《关于持续推进绿色矿山的通知》要求，</w:t>
      </w:r>
      <w:r>
        <w:rPr>
          <w:rFonts w:ascii="仿宋" w:hAnsi="仿宋" w:eastAsia="仿宋"/>
          <w:color w:val="auto"/>
          <w:sz w:val="32"/>
          <w:szCs w:val="32"/>
        </w:rPr>
        <w:t>做好</w:t>
      </w:r>
      <w:r>
        <w:rPr>
          <w:rFonts w:hint="eastAsia" w:ascii="仿宋" w:hAnsi="仿宋" w:eastAsia="仿宋"/>
          <w:color w:val="auto"/>
          <w:sz w:val="32"/>
          <w:szCs w:val="32"/>
        </w:rPr>
        <w:t>辽宁省绿色矿山名录的申报、管理等工作</w:t>
      </w:r>
      <w:r>
        <w:rPr>
          <w:rFonts w:ascii="仿宋" w:hAnsi="仿宋" w:eastAsia="仿宋"/>
          <w:color w:val="auto"/>
          <w:sz w:val="32"/>
          <w:szCs w:val="32"/>
        </w:rPr>
        <w:t>，制定本指南。</w:t>
      </w:r>
    </w:p>
    <w:p w14:paraId="4098E2A6">
      <w:pPr>
        <w:ind w:firstLine="640" w:firstLineChars="200"/>
        <w:rPr>
          <w:rFonts w:ascii="黑体" w:hAnsi="黑体" w:eastAsia="黑体"/>
          <w:color w:val="auto"/>
          <w:sz w:val="32"/>
          <w:szCs w:val="32"/>
        </w:rPr>
      </w:pPr>
      <w:r>
        <w:rPr>
          <w:rFonts w:hint="eastAsia" w:ascii="黑体" w:hAnsi="黑体" w:eastAsia="黑体"/>
          <w:color w:val="auto"/>
          <w:sz w:val="32"/>
          <w:szCs w:val="32"/>
        </w:rPr>
        <w:t>一、申报</w:t>
      </w:r>
    </w:p>
    <w:p w14:paraId="10110377">
      <w:pPr>
        <w:ind w:firstLine="640" w:firstLineChars="200"/>
        <w:rPr>
          <w:rFonts w:ascii="楷体_GB2312" w:hAnsi="仿宋" w:eastAsia="楷体_GB2312"/>
          <w:color w:val="auto"/>
          <w:sz w:val="32"/>
          <w:szCs w:val="32"/>
        </w:rPr>
      </w:pPr>
      <w:r>
        <w:rPr>
          <w:rFonts w:hint="eastAsia" w:ascii="楷体_GB2312" w:hAnsi="仿宋" w:eastAsia="楷体_GB2312"/>
          <w:color w:val="auto"/>
          <w:sz w:val="32"/>
          <w:szCs w:val="32"/>
        </w:rPr>
        <w:t>（一）申报条件。</w:t>
      </w:r>
      <w:r>
        <w:rPr>
          <w:rFonts w:hint="eastAsia" w:ascii="仿宋" w:hAnsi="仿宋" w:eastAsia="仿宋"/>
          <w:color w:val="auto"/>
          <w:sz w:val="32"/>
          <w:szCs w:val="32"/>
        </w:rPr>
        <w:t>辽宁省</w:t>
      </w:r>
      <w:r>
        <w:rPr>
          <w:rFonts w:ascii="仿宋" w:hAnsi="仿宋" w:eastAsia="仿宋"/>
          <w:color w:val="auto"/>
          <w:sz w:val="32"/>
          <w:szCs w:val="32"/>
        </w:rPr>
        <w:t>绿色矿山创建库中的</w:t>
      </w:r>
      <w:r>
        <w:rPr>
          <w:rFonts w:hint="eastAsia" w:ascii="仿宋" w:hAnsi="仿宋" w:eastAsia="仿宋"/>
          <w:color w:val="auto"/>
          <w:sz w:val="32"/>
          <w:szCs w:val="32"/>
        </w:rPr>
        <w:t>矿山企业已完成绿色矿山建设任务，达到绿色矿山建设标准的，可进行省级绿色矿山名录申报工作。</w:t>
      </w:r>
    </w:p>
    <w:p w14:paraId="13CE31C9">
      <w:pPr>
        <w:ind w:firstLine="640" w:firstLineChars="200"/>
        <w:rPr>
          <w:rFonts w:ascii="楷体_GB2312" w:hAnsi="仿宋" w:eastAsia="楷体_GB2312"/>
          <w:color w:val="auto"/>
          <w:sz w:val="32"/>
          <w:szCs w:val="32"/>
        </w:rPr>
      </w:pPr>
      <w:r>
        <w:rPr>
          <w:rFonts w:hint="eastAsia" w:ascii="楷体_GB2312" w:hAnsi="仿宋" w:eastAsia="楷体_GB2312"/>
          <w:color w:val="auto"/>
          <w:sz w:val="32"/>
          <w:szCs w:val="32"/>
        </w:rPr>
        <w:t>（二）申报流程。</w:t>
      </w:r>
      <w:r>
        <w:rPr>
          <w:rFonts w:hint="eastAsia" w:ascii="仿宋" w:hAnsi="仿宋" w:eastAsia="仿宋"/>
          <w:color w:val="auto"/>
          <w:sz w:val="32"/>
          <w:szCs w:val="32"/>
        </w:rPr>
        <w:t>矿山企业编写完成绿色矿山建设自评估报告后，可直接向县级自然资源主管部门申报。</w:t>
      </w:r>
    </w:p>
    <w:p w14:paraId="533A1B12">
      <w:pPr>
        <w:ind w:firstLine="640" w:firstLineChars="200"/>
        <w:rPr>
          <w:rFonts w:ascii="黑体" w:hAnsi="黑体" w:eastAsia="黑体"/>
          <w:color w:val="auto"/>
          <w:sz w:val="32"/>
          <w:szCs w:val="32"/>
        </w:rPr>
      </w:pPr>
      <w:r>
        <w:rPr>
          <w:rFonts w:hint="eastAsia" w:ascii="黑体" w:hAnsi="黑体" w:eastAsia="黑体"/>
          <w:color w:val="auto"/>
          <w:sz w:val="32"/>
          <w:szCs w:val="32"/>
        </w:rPr>
        <w:t>二、受理审核</w:t>
      </w:r>
    </w:p>
    <w:p w14:paraId="3664AD69">
      <w:pPr>
        <w:ind w:firstLine="640" w:firstLineChars="200"/>
        <w:rPr>
          <w:rFonts w:ascii="仿宋" w:hAnsi="仿宋" w:eastAsia="仿宋"/>
          <w:color w:val="auto"/>
          <w:sz w:val="32"/>
          <w:szCs w:val="32"/>
        </w:rPr>
      </w:pPr>
      <w:r>
        <w:rPr>
          <w:rFonts w:hint="eastAsia" w:ascii="楷体_GB2312" w:hAnsi="仿宋" w:eastAsia="楷体_GB2312"/>
          <w:color w:val="auto"/>
          <w:sz w:val="32"/>
          <w:szCs w:val="32"/>
        </w:rPr>
        <w:t>（一）受理申报。</w:t>
      </w:r>
      <w:r>
        <w:rPr>
          <w:rFonts w:hint="eastAsia" w:ascii="仿宋" w:hAnsi="仿宋" w:eastAsia="仿宋"/>
          <w:color w:val="auto"/>
          <w:sz w:val="32"/>
          <w:szCs w:val="32"/>
        </w:rPr>
        <w:t>县级自然资源主管部门受理矿山企业申报。涉及到放射性矿产的矿山企业申报，由省自然资源厅受理纸质申报材料。</w:t>
      </w:r>
    </w:p>
    <w:p w14:paraId="50F03CC9">
      <w:pPr>
        <w:ind w:firstLine="640" w:firstLineChars="200"/>
        <w:rPr>
          <w:rFonts w:ascii="仿宋" w:hAnsi="仿宋" w:eastAsia="仿宋"/>
          <w:color w:val="auto"/>
          <w:sz w:val="32"/>
          <w:szCs w:val="32"/>
        </w:rPr>
      </w:pPr>
      <w:r>
        <w:rPr>
          <w:rFonts w:hint="eastAsia" w:ascii="楷体_GB2312" w:hAnsi="仿宋" w:eastAsia="楷体_GB2312"/>
          <w:color w:val="auto"/>
          <w:sz w:val="32"/>
          <w:szCs w:val="32"/>
        </w:rPr>
        <w:t>（二）评估核查。</w:t>
      </w:r>
      <w:r>
        <w:rPr>
          <w:rFonts w:hint="eastAsia" w:ascii="仿宋" w:hAnsi="仿宋" w:eastAsia="仿宋"/>
          <w:color w:val="auto"/>
          <w:sz w:val="32"/>
          <w:szCs w:val="32"/>
        </w:rPr>
        <w:t>受理申报后2个月内，市级自然资源主管部门以政府购买服务方式确定第三方评估机构，第三方评估机构按照国家和省有关要求，对申请材料进行审查，同时进行现场实地评估，形成第三方评估报告。第三方评估机构</w:t>
      </w:r>
      <w:r>
        <w:rPr>
          <w:rFonts w:ascii="仿宋" w:hAnsi="仿宋" w:eastAsia="仿宋"/>
          <w:color w:val="auto"/>
          <w:sz w:val="32"/>
          <w:szCs w:val="32"/>
        </w:rPr>
        <w:t>对评估</w:t>
      </w:r>
      <w:r>
        <w:rPr>
          <w:rFonts w:hint="eastAsia" w:ascii="仿宋" w:hAnsi="仿宋" w:eastAsia="仿宋"/>
          <w:color w:val="auto"/>
          <w:sz w:val="32"/>
          <w:szCs w:val="32"/>
        </w:rPr>
        <w:t>报告中涉及的内容真实性承担责任。</w:t>
      </w:r>
    </w:p>
    <w:p w14:paraId="6BD3ACDE">
      <w:pPr>
        <w:ind w:firstLine="640" w:firstLineChars="200"/>
        <w:rPr>
          <w:rFonts w:ascii="仿宋" w:hAnsi="仿宋" w:eastAsia="仿宋"/>
          <w:color w:val="auto"/>
          <w:sz w:val="32"/>
          <w:szCs w:val="32"/>
        </w:rPr>
      </w:pPr>
      <w:r>
        <w:rPr>
          <w:rFonts w:hint="eastAsia" w:ascii="仿宋" w:hAnsi="仿宋" w:eastAsia="仿宋"/>
          <w:color w:val="auto"/>
          <w:sz w:val="32"/>
          <w:szCs w:val="32"/>
        </w:rPr>
        <w:t>根据第三方评估结论，市级自然资源主管部门会同生态环境、应急等部门，出具审核意见。符合要求的，形成推荐意见报送至省</w:t>
      </w:r>
      <w:r>
        <w:rPr>
          <w:rFonts w:ascii="仿宋" w:hAnsi="仿宋" w:eastAsia="仿宋"/>
          <w:color w:val="auto"/>
          <w:sz w:val="32"/>
          <w:szCs w:val="32"/>
        </w:rPr>
        <w:t>自然资源厅</w:t>
      </w:r>
      <w:r>
        <w:rPr>
          <w:rFonts w:hint="eastAsia" w:ascii="仿宋" w:hAnsi="仿宋" w:eastAsia="仿宋"/>
          <w:color w:val="auto"/>
          <w:sz w:val="32"/>
          <w:szCs w:val="32"/>
        </w:rPr>
        <w:t>。不符合要求的，将第三方评估结论及复核意见反馈给矿山企业。矿山企业对第三方评估结果有异议的，可对评估结果提出意见，申请重新评估。原第三方评估机构在收到重新评估申请后，对其再评估并形成最终评估结果。</w:t>
      </w:r>
    </w:p>
    <w:p w14:paraId="328FB7B8">
      <w:pPr>
        <w:ind w:firstLine="640" w:firstLineChars="200"/>
        <w:rPr>
          <w:rFonts w:ascii="仿宋" w:hAnsi="仿宋" w:eastAsia="仿宋"/>
          <w:color w:val="auto"/>
          <w:sz w:val="32"/>
          <w:szCs w:val="32"/>
        </w:rPr>
      </w:pPr>
      <w:r>
        <w:rPr>
          <w:rFonts w:ascii="仿宋" w:hAnsi="仿宋" w:eastAsia="仿宋"/>
          <w:color w:val="auto"/>
          <w:sz w:val="32"/>
          <w:szCs w:val="32"/>
        </w:rPr>
        <w:t>对各市推荐的矿山企业，</w:t>
      </w:r>
      <w:r>
        <w:rPr>
          <w:rFonts w:hint="eastAsia" w:ascii="仿宋" w:hAnsi="仿宋" w:eastAsia="仿宋"/>
          <w:color w:val="auto"/>
          <w:sz w:val="32"/>
          <w:szCs w:val="32"/>
        </w:rPr>
        <w:t>省自然资源厅组织相关人员进行实地核查，根据实地核查结论，省自然资源厅会同生态环境、应急等部门，出具审核意见。符合要求的，进行公示。不符合要求的，将实地核查结论反馈给矿山企业，待矿山企业整改到位后，由市级自然资源主管部门重新申请进行实地核查。</w:t>
      </w:r>
    </w:p>
    <w:p w14:paraId="488B1444">
      <w:pPr>
        <w:ind w:firstLine="640" w:firstLineChars="200"/>
        <w:rPr>
          <w:rFonts w:ascii="黑体" w:hAnsi="黑体" w:eastAsia="黑体"/>
          <w:color w:val="auto"/>
          <w:sz w:val="32"/>
          <w:szCs w:val="32"/>
        </w:rPr>
      </w:pPr>
      <w:r>
        <w:rPr>
          <w:rFonts w:hint="eastAsia" w:ascii="黑体" w:hAnsi="黑体" w:eastAsia="黑体"/>
          <w:color w:val="auto"/>
          <w:sz w:val="32"/>
          <w:szCs w:val="32"/>
        </w:rPr>
        <w:t>三、公示</w:t>
      </w:r>
    </w:p>
    <w:p w14:paraId="7E809834">
      <w:pPr>
        <w:ind w:firstLine="640" w:firstLineChars="200"/>
        <w:rPr>
          <w:rFonts w:ascii="仿宋" w:hAnsi="仿宋" w:eastAsia="仿宋"/>
          <w:color w:val="auto"/>
          <w:sz w:val="32"/>
          <w:szCs w:val="32"/>
        </w:rPr>
      </w:pPr>
      <w:r>
        <w:rPr>
          <w:rFonts w:hint="eastAsia" w:ascii="仿宋" w:hAnsi="仿宋" w:eastAsia="仿宋"/>
          <w:color w:val="auto"/>
          <w:sz w:val="32"/>
          <w:szCs w:val="32"/>
        </w:rPr>
        <w:t>对符合要求的矿山企业，省自然资源厅出具审核意见后，在自然资源厅门户网站进行公示，公示期为</w:t>
      </w:r>
      <w:r>
        <w:rPr>
          <w:rFonts w:ascii="仿宋" w:hAnsi="仿宋" w:eastAsia="仿宋"/>
          <w:color w:val="auto"/>
          <w:sz w:val="32"/>
          <w:szCs w:val="32"/>
        </w:rPr>
        <w:t>5</w:t>
      </w:r>
      <w:r>
        <w:rPr>
          <w:rFonts w:hint="eastAsia" w:ascii="仿宋" w:hAnsi="仿宋" w:eastAsia="仿宋"/>
          <w:color w:val="auto"/>
          <w:sz w:val="32"/>
          <w:szCs w:val="32"/>
        </w:rPr>
        <w:t>个工作日。</w:t>
      </w:r>
    </w:p>
    <w:p w14:paraId="2CB30130">
      <w:pPr>
        <w:ind w:firstLine="640" w:firstLineChars="200"/>
        <w:rPr>
          <w:rFonts w:ascii="黑体" w:hAnsi="黑体" w:eastAsia="黑体"/>
          <w:color w:val="auto"/>
          <w:sz w:val="32"/>
          <w:szCs w:val="32"/>
        </w:rPr>
      </w:pPr>
      <w:r>
        <w:rPr>
          <w:rFonts w:hint="eastAsia" w:ascii="黑体" w:hAnsi="黑体" w:eastAsia="黑体"/>
          <w:color w:val="auto"/>
          <w:sz w:val="32"/>
          <w:szCs w:val="32"/>
        </w:rPr>
        <w:t>四、遴选推荐</w:t>
      </w:r>
    </w:p>
    <w:p w14:paraId="498E1F37">
      <w:pPr>
        <w:ind w:firstLine="640" w:firstLineChars="200"/>
        <w:rPr>
          <w:rFonts w:ascii="楷体_GB2312" w:hAnsi="仿宋" w:eastAsia="楷体_GB2312"/>
          <w:color w:val="auto"/>
          <w:sz w:val="32"/>
          <w:szCs w:val="32"/>
        </w:rPr>
      </w:pPr>
      <w:r>
        <w:rPr>
          <w:rFonts w:hint="eastAsia" w:ascii="楷体_GB2312" w:hAnsi="仿宋" w:eastAsia="楷体_GB2312"/>
          <w:color w:val="auto"/>
          <w:sz w:val="32"/>
          <w:szCs w:val="32"/>
        </w:rPr>
        <w:t>（一）申报资料</w:t>
      </w:r>
    </w:p>
    <w:p w14:paraId="122B9D31">
      <w:pPr>
        <w:ind w:firstLine="640" w:firstLineChars="200"/>
        <w:rPr>
          <w:rFonts w:ascii="楷体_GB2312" w:hAnsi="仿宋" w:eastAsia="楷体_GB2312"/>
          <w:color w:val="auto"/>
          <w:sz w:val="32"/>
          <w:szCs w:val="32"/>
        </w:rPr>
      </w:pPr>
      <w:r>
        <w:rPr>
          <w:rFonts w:hint="eastAsia" w:ascii="仿宋" w:hAnsi="仿宋" w:eastAsia="仿宋"/>
          <w:color w:val="auto"/>
          <w:sz w:val="32"/>
          <w:szCs w:val="32"/>
        </w:rPr>
        <w:t>公示期满无异议的矿山企业，纳入省级绿色矿山名录管理。对公示期间收到的投诉和举报问题，由省自然资源厅组织开展核实，合格的由省自然资源厅</w:t>
      </w:r>
      <w:r>
        <w:rPr>
          <w:rFonts w:ascii="仿宋" w:hAnsi="仿宋" w:eastAsia="仿宋"/>
          <w:color w:val="auto"/>
          <w:sz w:val="32"/>
          <w:szCs w:val="32"/>
        </w:rPr>
        <w:t>纳入省级绿色矿山</w:t>
      </w:r>
      <w:r>
        <w:rPr>
          <w:rFonts w:hint="eastAsia" w:ascii="仿宋" w:hAnsi="仿宋" w:eastAsia="仿宋"/>
          <w:color w:val="auto"/>
          <w:sz w:val="32"/>
          <w:szCs w:val="32"/>
        </w:rPr>
        <w:t>名录，报送</w:t>
      </w:r>
      <w:r>
        <w:rPr>
          <w:rFonts w:ascii="仿宋" w:hAnsi="仿宋" w:eastAsia="仿宋"/>
          <w:color w:val="auto"/>
          <w:sz w:val="32"/>
          <w:szCs w:val="32"/>
        </w:rPr>
        <w:t>材料原始文件由县自然资源</w:t>
      </w:r>
      <w:r>
        <w:rPr>
          <w:rFonts w:hint="eastAsia" w:ascii="仿宋" w:hAnsi="仿宋" w:eastAsia="仿宋"/>
          <w:color w:val="auto"/>
          <w:sz w:val="32"/>
          <w:szCs w:val="32"/>
        </w:rPr>
        <w:t>主管部门</w:t>
      </w:r>
      <w:r>
        <w:rPr>
          <w:rFonts w:ascii="仿宋" w:hAnsi="仿宋" w:eastAsia="仿宋"/>
          <w:color w:val="auto"/>
          <w:sz w:val="32"/>
          <w:szCs w:val="32"/>
        </w:rPr>
        <w:t>存档备案</w:t>
      </w:r>
      <w:r>
        <w:rPr>
          <w:rFonts w:hint="eastAsia" w:ascii="仿宋" w:hAnsi="仿宋" w:eastAsia="仿宋"/>
          <w:color w:val="auto"/>
          <w:sz w:val="32"/>
          <w:szCs w:val="32"/>
        </w:rPr>
        <w:t>；不合格的退还给申请矿山企业。</w:t>
      </w:r>
    </w:p>
    <w:p w14:paraId="345BB065">
      <w:pPr>
        <w:adjustRightInd w:val="0"/>
        <w:snapToGrid w:val="0"/>
        <w:spacing w:line="560" w:lineRule="exact"/>
        <w:ind w:firstLine="200" w:firstLineChars="71"/>
        <w:jc w:val="center"/>
        <w:rPr>
          <w:rFonts w:ascii="宋体" w:hAnsi="宋体" w:eastAsia="宋体"/>
          <w:b/>
          <w:color w:val="auto"/>
          <w:sz w:val="28"/>
          <w:szCs w:val="28"/>
        </w:rPr>
      </w:pPr>
    </w:p>
    <w:p w14:paraId="48E3F7AC">
      <w:pPr>
        <w:adjustRightInd w:val="0"/>
        <w:snapToGrid w:val="0"/>
        <w:spacing w:line="560" w:lineRule="exact"/>
        <w:ind w:firstLine="200" w:firstLineChars="71"/>
        <w:jc w:val="center"/>
        <w:rPr>
          <w:rFonts w:ascii="宋体" w:hAnsi="宋体" w:eastAsia="宋体"/>
          <w:b/>
          <w:color w:val="auto"/>
          <w:sz w:val="28"/>
          <w:szCs w:val="28"/>
        </w:rPr>
      </w:pPr>
      <w:r>
        <w:rPr>
          <w:rFonts w:hint="eastAsia" w:ascii="宋体" w:hAnsi="宋体" w:eastAsia="宋体"/>
          <w:b/>
          <w:color w:val="auto"/>
          <w:sz w:val="28"/>
          <w:szCs w:val="28"/>
        </w:rPr>
        <w:t>绿色矿山入库资料明细表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805"/>
        <w:gridCol w:w="701"/>
        <w:gridCol w:w="1263"/>
        <w:gridCol w:w="1012"/>
        <w:gridCol w:w="1897"/>
      </w:tblGrid>
      <w:tr w14:paraId="23DB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trPr>
        <w:tc>
          <w:tcPr>
            <w:tcW w:w="495" w:type="pct"/>
            <w:vAlign w:val="center"/>
          </w:tcPr>
          <w:p w14:paraId="072ACAF7">
            <w:pPr>
              <w:jc w:val="center"/>
              <w:rPr>
                <w:rFonts w:ascii="黑体" w:hAnsi="黑体" w:eastAsia="黑体"/>
                <w:color w:val="auto"/>
                <w:szCs w:val="21"/>
              </w:rPr>
            </w:pPr>
            <w:r>
              <w:rPr>
                <w:rFonts w:hint="eastAsia" w:ascii="黑体" w:hAnsi="黑体" w:eastAsia="黑体"/>
                <w:color w:val="auto"/>
                <w:szCs w:val="21"/>
              </w:rPr>
              <w:t>序号</w:t>
            </w:r>
          </w:p>
        </w:tc>
        <w:tc>
          <w:tcPr>
            <w:tcW w:w="1646" w:type="pct"/>
            <w:vAlign w:val="center"/>
          </w:tcPr>
          <w:p w14:paraId="0C162783">
            <w:pPr>
              <w:jc w:val="center"/>
              <w:rPr>
                <w:rFonts w:ascii="黑体" w:hAnsi="黑体" w:eastAsia="黑体"/>
                <w:color w:val="auto"/>
                <w:szCs w:val="21"/>
              </w:rPr>
            </w:pPr>
            <w:r>
              <w:rPr>
                <w:rFonts w:hint="eastAsia" w:ascii="黑体" w:hAnsi="黑体" w:eastAsia="黑体"/>
                <w:color w:val="auto"/>
                <w:szCs w:val="21"/>
              </w:rPr>
              <w:t>材料名称</w:t>
            </w:r>
          </w:p>
        </w:tc>
        <w:tc>
          <w:tcPr>
            <w:tcW w:w="411" w:type="pct"/>
            <w:vAlign w:val="center"/>
          </w:tcPr>
          <w:p w14:paraId="1A7117D8">
            <w:pPr>
              <w:jc w:val="center"/>
              <w:rPr>
                <w:rFonts w:ascii="黑体" w:hAnsi="黑体" w:eastAsia="黑体"/>
                <w:color w:val="auto"/>
                <w:szCs w:val="21"/>
              </w:rPr>
            </w:pPr>
            <w:r>
              <w:rPr>
                <w:rFonts w:hint="eastAsia" w:ascii="黑体" w:hAnsi="黑体" w:eastAsia="黑体"/>
                <w:color w:val="auto"/>
                <w:szCs w:val="21"/>
              </w:rPr>
              <w:t>份数</w:t>
            </w:r>
          </w:p>
        </w:tc>
        <w:tc>
          <w:tcPr>
            <w:tcW w:w="741" w:type="pct"/>
            <w:vAlign w:val="center"/>
          </w:tcPr>
          <w:p w14:paraId="6489F1FD">
            <w:pPr>
              <w:jc w:val="center"/>
              <w:rPr>
                <w:rFonts w:ascii="黑体" w:hAnsi="黑体" w:eastAsia="黑体"/>
                <w:color w:val="auto"/>
                <w:szCs w:val="21"/>
              </w:rPr>
            </w:pPr>
            <w:r>
              <w:rPr>
                <w:rFonts w:hint="eastAsia" w:ascii="黑体" w:hAnsi="黑体" w:eastAsia="黑体"/>
                <w:color w:val="auto"/>
                <w:szCs w:val="21"/>
              </w:rPr>
              <w:t>纸质/电子</w:t>
            </w:r>
          </w:p>
        </w:tc>
        <w:tc>
          <w:tcPr>
            <w:tcW w:w="594" w:type="pct"/>
            <w:vAlign w:val="center"/>
          </w:tcPr>
          <w:p w14:paraId="28033BFE">
            <w:pPr>
              <w:jc w:val="center"/>
              <w:rPr>
                <w:rFonts w:ascii="黑体" w:hAnsi="黑体" w:eastAsia="黑体"/>
                <w:color w:val="auto"/>
                <w:szCs w:val="21"/>
              </w:rPr>
            </w:pPr>
            <w:r>
              <w:rPr>
                <w:rFonts w:hint="eastAsia" w:ascii="黑体" w:hAnsi="黑体" w:eastAsia="黑体"/>
                <w:color w:val="auto"/>
                <w:szCs w:val="21"/>
              </w:rPr>
              <w:t>要求</w:t>
            </w:r>
          </w:p>
        </w:tc>
        <w:tc>
          <w:tcPr>
            <w:tcW w:w="1114" w:type="pct"/>
            <w:vAlign w:val="center"/>
          </w:tcPr>
          <w:p w14:paraId="4EFCA4BC">
            <w:pPr>
              <w:jc w:val="center"/>
              <w:rPr>
                <w:rFonts w:ascii="黑体" w:hAnsi="黑体" w:eastAsia="黑体"/>
                <w:color w:val="auto"/>
                <w:szCs w:val="21"/>
              </w:rPr>
            </w:pPr>
            <w:r>
              <w:rPr>
                <w:rFonts w:hint="eastAsia" w:ascii="黑体" w:hAnsi="黑体" w:eastAsia="黑体"/>
                <w:color w:val="auto"/>
                <w:szCs w:val="21"/>
              </w:rPr>
              <w:t>备注</w:t>
            </w:r>
          </w:p>
        </w:tc>
      </w:tr>
      <w:tr w14:paraId="2B9C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pct"/>
            <w:vAlign w:val="center"/>
          </w:tcPr>
          <w:p w14:paraId="5DEAE66B">
            <w:pPr>
              <w:jc w:val="center"/>
              <w:rPr>
                <w:rFonts w:ascii="仿宋_GB2312" w:hAnsi="Times New Roman" w:eastAsia="仿宋_GB2312"/>
                <w:color w:val="auto"/>
                <w:szCs w:val="21"/>
              </w:rPr>
            </w:pPr>
            <w:r>
              <w:rPr>
                <w:rFonts w:hint="eastAsia" w:ascii="仿宋_GB2312" w:hAnsi="Times New Roman" w:eastAsia="仿宋_GB2312"/>
                <w:color w:val="auto"/>
                <w:szCs w:val="21"/>
              </w:rPr>
              <w:t>1</w:t>
            </w:r>
          </w:p>
        </w:tc>
        <w:tc>
          <w:tcPr>
            <w:tcW w:w="1646" w:type="pct"/>
            <w:vAlign w:val="center"/>
          </w:tcPr>
          <w:p w14:paraId="09BDCF26">
            <w:pPr>
              <w:rPr>
                <w:rFonts w:ascii="仿宋_GB2312" w:hAnsi="Times New Roman" w:eastAsia="仿宋_GB2312"/>
                <w:color w:val="auto"/>
                <w:szCs w:val="21"/>
              </w:rPr>
            </w:pPr>
            <w:r>
              <w:rPr>
                <w:rFonts w:hint="eastAsia" w:ascii="仿宋_GB2312" w:hAnsi="Times New Roman" w:eastAsia="仿宋_GB2312"/>
                <w:color w:val="auto"/>
                <w:szCs w:val="21"/>
              </w:rPr>
              <w:t>辽宁省绿色矿山入库信息表</w:t>
            </w:r>
          </w:p>
        </w:tc>
        <w:tc>
          <w:tcPr>
            <w:tcW w:w="411" w:type="pct"/>
            <w:vAlign w:val="center"/>
          </w:tcPr>
          <w:p w14:paraId="47D732CB">
            <w:pPr>
              <w:jc w:val="center"/>
              <w:rPr>
                <w:rFonts w:ascii="仿宋_GB2312" w:hAnsi="Times New Roman" w:eastAsia="仿宋_GB2312"/>
                <w:color w:val="auto"/>
                <w:szCs w:val="21"/>
              </w:rPr>
            </w:pPr>
            <w:r>
              <w:rPr>
                <w:rFonts w:hint="eastAsia" w:ascii="仿宋_GB2312" w:hAnsi="Times New Roman" w:eastAsia="仿宋_GB2312"/>
                <w:color w:val="auto"/>
                <w:szCs w:val="21"/>
              </w:rPr>
              <w:t>1</w:t>
            </w:r>
          </w:p>
        </w:tc>
        <w:tc>
          <w:tcPr>
            <w:tcW w:w="741" w:type="pct"/>
            <w:vMerge w:val="restart"/>
            <w:vAlign w:val="center"/>
          </w:tcPr>
          <w:p w14:paraId="2A93D4E5">
            <w:pPr>
              <w:jc w:val="center"/>
              <w:rPr>
                <w:rFonts w:ascii="仿宋_GB2312" w:hAnsi="Times New Roman" w:eastAsia="仿宋_GB2312"/>
                <w:color w:val="auto"/>
                <w:szCs w:val="21"/>
              </w:rPr>
            </w:pPr>
            <w:r>
              <w:rPr>
                <w:rFonts w:hint="eastAsia" w:ascii="仿宋_GB2312" w:hAnsi="Times New Roman" w:eastAsia="仿宋_GB2312"/>
                <w:color w:val="auto"/>
                <w:szCs w:val="21"/>
              </w:rPr>
              <w:t>电子扫描件</w:t>
            </w:r>
          </w:p>
        </w:tc>
        <w:tc>
          <w:tcPr>
            <w:tcW w:w="594" w:type="pct"/>
            <w:vMerge w:val="restart"/>
            <w:vAlign w:val="center"/>
          </w:tcPr>
          <w:p w14:paraId="1B82ED10">
            <w:pPr>
              <w:rPr>
                <w:rFonts w:ascii="仿宋_GB2312" w:hAnsi="Times New Roman" w:eastAsia="仿宋_GB2312"/>
                <w:color w:val="auto"/>
                <w:szCs w:val="21"/>
              </w:rPr>
            </w:pPr>
            <w:r>
              <w:rPr>
                <w:rFonts w:hint="eastAsia" w:ascii="仿宋_GB2312" w:hAnsi="Times New Roman" w:eastAsia="仿宋_GB2312"/>
                <w:color w:val="auto"/>
                <w:szCs w:val="21"/>
              </w:rPr>
              <w:t>PDF格式</w:t>
            </w:r>
          </w:p>
        </w:tc>
        <w:tc>
          <w:tcPr>
            <w:tcW w:w="1114" w:type="pct"/>
            <w:vMerge w:val="restart"/>
            <w:vAlign w:val="center"/>
          </w:tcPr>
          <w:p w14:paraId="3C4771C5">
            <w:pPr>
              <w:rPr>
                <w:rFonts w:ascii="仿宋_GB2312" w:hAnsi="Times New Roman" w:eastAsia="仿宋_GB2312"/>
                <w:color w:val="auto"/>
                <w:szCs w:val="21"/>
              </w:rPr>
            </w:pPr>
            <w:r>
              <w:rPr>
                <w:rFonts w:hint="eastAsia" w:ascii="仿宋_GB2312" w:hAnsi="Times New Roman" w:eastAsia="仿宋_GB2312"/>
                <w:color w:val="auto"/>
                <w:szCs w:val="21"/>
              </w:rPr>
              <w:t>涉及盖章的页面要求原件彩色扫描</w:t>
            </w:r>
          </w:p>
        </w:tc>
      </w:tr>
      <w:tr w14:paraId="33DD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pct"/>
            <w:vAlign w:val="center"/>
          </w:tcPr>
          <w:p w14:paraId="2F377BAE">
            <w:pPr>
              <w:jc w:val="center"/>
              <w:rPr>
                <w:rFonts w:ascii="仿宋_GB2312" w:hAnsi="Times New Roman" w:eastAsia="仿宋_GB2312"/>
                <w:color w:val="auto"/>
                <w:szCs w:val="21"/>
              </w:rPr>
            </w:pPr>
            <w:r>
              <w:rPr>
                <w:rFonts w:hint="eastAsia" w:ascii="仿宋_GB2312" w:hAnsi="Times New Roman" w:eastAsia="仿宋_GB2312"/>
                <w:color w:val="auto"/>
                <w:szCs w:val="21"/>
              </w:rPr>
              <w:t>2</w:t>
            </w:r>
          </w:p>
        </w:tc>
        <w:tc>
          <w:tcPr>
            <w:tcW w:w="1646" w:type="pct"/>
            <w:vAlign w:val="center"/>
          </w:tcPr>
          <w:p w14:paraId="3812C80B">
            <w:pPr>
              <w:rPr>
                <w:rFonts w:ascii="仿宋_GB2312" w:hAnsi="Times New Roman" w:eastAsia="仿宋_GB2312"/>
                <w:color w:val="auto"/>
                <w:szCs w:val="21"/>
              </w:rPr>
            </w:pPr>
            <w:r>
              <w:rPr>
                <w:rFonts w:hint="eastAsia" w:ascii="仿宋_GB2312" w:hAnsi="Times New Roman" w:eastAsia="仿宋_GB2312"/>
                <w:color w:val="auto"/>
                <w:szCs w:val="21"/>
              </w:rPr>
              <w:t>绿色矿山自评估报告</w:t>
            </w:r>
          </w:p>
        </w:tc>
        <w:tc>
          <w:tcPr>
            <w:tcW w:w="411" w:type="pct"/>
            <w:vAlign w:val="center"/>
          </w:tcPr>
          <w:p w14:paraId="6BD60AED">
            <w:pPr>
              <w:jc w:val="center"/>
              <w:rPr>
                <w:rFonts w:ascii="仿宋_GB2312" w:hAnsi="Times New Roman" w:eastAsia="仿宋_GB2312"/>
                <w:color w:val="auto"/>
                <w:szCs w:val="21"/>
              </w:rPr>
            </w:pPr>
            <w:r>
              <w:rPr>
                <w:rFonts w:hint="eastAsia" w:ascii="仿宋_GB2312" w:hAnsi="Times New Roman" w:eastAsia="仿宋_GB2312"/>
                <w:color w:val="auto"/>
                <w:szCs w:val="21"/>
              </w:rPr>
              <w:t>1</w:t>
            </w:r>
          </w:p>
        </w:tc>
        <w:tc>
          <w:tcPr>
            <w:tcW w:w="741" w:type="pct"/>
            <w:vMerge w:val="continue"/>
            <w:vAlign w:val="center"/>
          </w:tcPr>
          <w:p w14:paraId="65B06C26">
            <w:pPr>
              <w:jc w:val="center"/>
              <w:rPr>
                <w:rFonts w:ascii="仿宋_GB2312" w:hAnsi="Times New Roman" w:eastAsia="仿宋_GB2312"/>
                <w:color w:val="auto"/>
                <w:szCs w:val="21"/>
              </w:rPr>
            </w:pPr>
          </w:p>
        </w:tc>
        <w:tc>
          <w:tcPr>
            <w:tcW w:w="594" w:type="pct"/>
            <w:vMerge w:val="continue"/>
            <w:vAlign w:val="center"/>
          </w:tcPr>
          <w:p w14:paraId="23F85892">
            <w:pPr>
              <w:rPr>
                <w:rFonts w:ascii="仿宋_GB2312" w:hAnsi="Times New Roman" w:eastAsia="仿宋_GB2312"/>
                <w:color w:val="auto"/>
                <w:szCs w:val="21"/>
              </w:rPr>
            </w:pPr>
          </w:p>
        </w:tc>
        <w:tc>
          <w:tcPr>
            <w:tcW w:w="1114" w:type="pct"/>
            <w:vMerge w:val="continue"/>
            <w:vAlign w:val="center"/>
          </w:tcPr>
          <w:p w14:paraId="5964885E">
            <w:pPr>
              <w:rPr>
                <w:rFonts w:ascii="仿宋_GB2312" w:hAnsi="Times New Roman" w:eastAsia="仿宋_GB2312"/>
                <w:color w:val="auto"/>
                <w:szCs w:val="21"/>
              </w:rPr>
            </w:pPr>
          </w:p>
        </w:tc>
      </w:tr>
      <w:tr w14:paraId="6A74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pct"/>
            <w:vAlign w:val="center"/>
          </w:tcPr>
          <w:p w14:paraId="79E211D7">
            <w:pPr>
              <w:jc w:val="center"/>
              <w:rPr>
                <w:rFonts w:ascii="仿宋_GB2312" w:hAnsi="Times New Roman" w:eastAsia="仿宋_GB2312"/>
                <w:color w:val="auto"/>
                <w:szCs w:val="21"/>
              </w:rPr>
            </w:pPr>
            <w:r>
              <w:rPr>
                <w:rFonts w:hint="eastAsia" w:ascii="仿宋_GB2312" w:hAnsi="Times New Roman" w:eastAsia="仿宋_GB2312"/>
                <w:color w:val="auto"/>
                <w:szCs w:val="21"/>
              </w:rPr>
              <w:t>3</w:t>
            </w:r>
          </w:p>
        </w:tc>
        <w:tc>
          <w:tcPr>
            <w:tcW w:w="1646" w:type="pct"/>
            <w:vAlign w:val="center"/>
          </w:tcPr>
          <w:p w14:paraId="7093DAFB">
            <w:pPr>
              <w:rPr>
                <w:rFonts w:ascii="仿宋_GB2312" w:hAnsi="Times New Roman" w:eastAsia="仿宋_GB2312"/>
                <w:color w:val="auto"/>
                <w:szCs w:val="21"/>
              </w:rPr>
            </w:pPr>
            <w:r>
              <w:rPr>
                <w:rFonts w:hint="eastAsia" w:ascii="仿宋_GB2312" w:hAnsi="Times New Roman" w:eastAsia="仿宋_GB2312"/>
                <w:color w:val="auto"/>
                <w:szCs w:val="21"/>
              </w:rPr>
              <w:t>第三方评估报告</w:t>
            </w:r>
          </w:p>
        </w:tc>
        <w:tc>
          <w:tcPr>
            <w:tcW w:w="411" w:type="pct"/>
            <w:vAlign w:val="center"/>
          </w:tcPr>
          <w:p w14:paraId="19CBFC93">
            <w:pPr>
              <w:jc w:val="center"/>
              <w:rPr>
                <w:rFonts w:ascii="仿宋_GB2312" w:hAnsi="Times New Roman" w:eastAsia="仿宋_GB2312"/>
                <w:color w:val="auto"/>
                <w:szCs w:val="21"/>
              </w:rPr>
            </w:pPr>
            <w:r>
              <w:rPr>
                <w:rFonts w:hint="eastAsia" w:ascii="仿宋_GB2312" w:hAnsi="Times New Roman" w:eastAsia="仿宋_GB2312"/>
                <w:color w:val="auto"/>
                <w:szCs w:val="21"/>
              </w:rPr>
              <w:t>1</w:t>
            </w:r>
          </w:p>
        </w:tc>
        <w:tc>
          <w:tcPr>
            <w:tcW w:w="741" w:type="pct"/>
            <w:vMerge w:val="continue"/>
            <w:vAlign w:val="center"/>
          </w:tcPr>
          <w:p w14:paraId="42E50725">
            <w:pPr>
              <w:jc w:val="center"/>
              <w:rPr>
                <w:rFonts w:ascii="仿宋_GB2312" w:hAnsi="Times New Roman" w:eastAsia="仿宋_GB2312"/>
                <w:color w:val="auto"/>
                <w:szCs w:val="21"/>
              </w:rPr>
            </w:pPr>
          </w:p>
        </w:tc>
        <w:tc>
          <w:tcPr>
            <w:tcW w:w="594" w:type="pct"/>
            <w:vMerge w:val="continue"/>
            <w:vAlign w:val="center"/>
          </w:tcPr>
          <w:p w14:paraId="3B5C1046">
            <w:pPr>
              <w:rPr>
                <w:rFonts w:ascii="仿宋_GB2312" w:hAnsi="Times New Roman" w:eastAsia="仿宋_GB2312"/>
                <w:color w:val="auto"/>
                <w:szCs w:val="21"/>
              </w:rPr>
            </w:pPr>
          </w:p>
        </w:tc>
        <w:tc>
          <w:tcPr>
            <w:tcW w:w="1114" w:type="pct"/>
            <w:vMerge w:val="continue"/>
            <w:vAlign w:val="center"/>
          </w:tcPr>
          <w:p w14:paraId="3A86A4FE">
            <w:pPr>
              <w:rPr>
                <w:rFonts w:ascii="仿宋_GB2312" w:hAnsi="Times New Roman" w:eastAsia="仿宋_GB2312"/>
                <w:color w:val="auto"/>
                <w:szCs w:val="21"/>
              </w:rPr>
            </w:pPr>
          </w:p>
        </w:tc>
      </w:tr>
      <w:tr w14:paraId="07C1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pct"/>
            <w:vAlign w:val="center"/>
          </w:tcPr>
          <w:p w14:paraId="5C38F741">
            <w:pPr>
              <w:jc w:val="center"/>
              <w:rPr>
                <w:rFonts w:ascii="仿宋_GB2312" w:hAnsi="Times New Roman" w:eastAsia="仿宋_GB2312"/>
                <w:color w:val="auto"/>
                <w:szCs w:val="21"/>
              </w:rPr>
            </w:pPr>
            <w:r>
              <w:rPr>
                <w:rFonts w:hint="eastAsia" w:ascii="仿宋_GB2312" w:hAnsi="Times New Roman" w:eastAsia="仿宋_GB2312"/>
                <w:color w:val="auto"/>
                <w:szCs w:val="21"/>
              </w:rPr>
              <w:t>4</w:t>
            </w:r>
          </w:p>
        </w:tc>
        <w:tc>
          <w:tcPr>
            <w:tcW w:w="1646" w:type="pct"/>
            <w:vAlign w:val="center"/>
          </w:tcPr>
          <w:p w14:paraId="4220229F">
            <w:pPr>
              <w:rPr>
                <w:rFonts w:ascii="仿宋_GB2312" w:hAnsi="Times New Roman" w:eastAsia="仿宋_GB2312"/>
                <w:color w:val="auto"/>
                <w:szCs w:val="21"/>
              </w:rPr>
            </w:pPr>
            <w:r>
              <w:rPr>
                <w:rFonts w:hint="eastAsia" w:ascii="仿宋_GB2312" w:hAnsi="Times New Roman" w:eastAsia="仿宋_GB2312"/>
                <w:color w:val="auto"/>
                <w:szCs w:val="21"/>
              </w:rPr>
              <w:t>第三方评估报告专家组名单</w:t>
            </w:r>
          </w:p>
        </w:tc>
        <w:tc>
          <w:tcPr>
            <w:tcW w:w="411" w:type="pct"/>
            <w:vAlign w:val="center"/>
          </w:tcPr>
          <w:p w14:paraId="517A879A">
            <w:pPr>
              <w:jc w:val="center"/>
              <w:rPr>
                <w:rFonts w:ascii="仿宋_GB2312" w:hAnsi="Times New Roman" w:eastAsia="仿宋_GB2312"/>
                <w:color w:val="auto"/>
                <w:szCs w:val="21"/>
              </w:rPr>
            </w:pPr>
            <w:r>
              <w:rPr>
                <w:rFonts w:hint="eastAsia" w:ascii="仿宋_GB2312" w:hAnsi="Times New Roman" w:eastAsia="仿宋_GB2312"/>
                <w:color w:val="auto"/>
                <w:szCs w:val="21"/>
              </w:rPr>
              <w:t>1</w:t>
            </w:r>
          </w:p>
        </w:tc>
        <w:tc>
          <w:tcPr>
            <w:tcW w:w="741" w:type="pct"/>
            <w:vMerge w:val="continue"/>
            <w:vAlign w:val="center"/>
          </w:tcPr>
          <w:p w14:paraId="0F216334">
            <w:pPr>
              <w:jc w:val="center"/>
              <w:rPr>
                <w:rFonts w:ascii="仿宋_GB2312" w:hAnsi="Times New Roman" w:eastAsia="仿宋_GB2312"/>
                <w:color w:val="auto"/>
                <w:szCs w:val="21"/>
              </w:rPr>
            </w:pPr>
          </w:p>
        </w:tc>
        <w:tc>
          <w:tcPr>
            <w:tcW w:w="594" w:type="pct"/>
            <w:vMerge w:val="continue"/>
            <w:vAlign w:val="center"/>
          </w:tcPr>
          <w:p w14:paraId="279A1B07">
            <w:pPr>
              <w:rPr>
                <w:rFonts w:ascii="仿宋_GB2312" w:hAnsi="Times New Roman" w:eastAsia="仿宋_GB2312"/>
                <w:color w:val="auto"/>
                <w:szCs w:val="21"/>
              </w:rPr>
            </w:pPr>
          </w:p>
        </w:tc>
        <w:tc>
          <w:tcPr>
            <w:tcW w:w="1114" w:type="pct"/>
            <w:vMerge w:val="continue"/>
            <w:vAlign w:val="center"/>
          </w:tcPr>
          <w:p w14:paraId="2B37FFDA">
            <w:pPr>
              <w:rPr>
                <w:rFonts w:ascii="仿宋_GB2312" w:hAnsi="Times New Roman" w:eastAsia="仿宋_GB2312"/>
                <w:color w:val="auto"/>
                <w:szCs w:val="21"/>
              </w:rPr>
            </w:pPr>
          </w:p>
        </w:tc>
      </w:tr>
      <w:tr w14:paraId="4A97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95" w:type="pct"/>
            <w:vAlign w:val="center"/>
          </w:tcPr>
          <w:p w14:paraId="17C394E8">
            <w:pPr>
              <w:jc w:val="center"/>
              <w:rPr>
                <w:rFonts w:ascii="仿宋_GB2312" w:hAnsi="Times New Roman" w:eastAsia="仿宋_GB2312"/>
                <w:color w:val="auto"/>
                <w:szCs w:val="21"/>
              </w:rPr>
            </w:pPr>
            <w:r>
              <w:rPr>
                <w:rFonts w:hint="eastAsia" w:ascii="仿宋_GB2312" w:hAnsi="Times New Roman" w:eastAsia="仿宋_GB2312"/>
                <w:color w:val="auto"/>
                <w:szCs w:val="21"/>
              </w:rPr>
              <w:t>5</w:t>
            </w:r>
          </w:p>
        </w:tc>
        <w:tc>
          <w:tcPr>
            <w:tcW w:w="1646" w:type="pct"/>
            <w:vAlign w:val="center"/>
          </w:tcPr>
          <w:p w14:paraId="267595B0">
            <w:pPr>
              <w:adjustRightInd w:val="0"/>
              <w:snapToGrid w:val="0"/>
              <w:rPr>
                <w:rFonts w:ascii="仿宋_GB2312" w:hAnsi="Times New Roman" w:eastAsia="仿宋_GB2312"/>
                <w:color w:val="auto"/>
                <w:szCs w:val="21"/>
              </w:rPr>
            </w:pPr>
            <w:r>
              <w:rPr>
                <w:rFonts w:hint="eastAsia" w:ascii="仿宋_GB2312" w:hAnsi="Times New Roman" w:eastAsia="仿宋_GB2312"/>
                <w:color w:val="auto"/>
                <w:szCs w:val="21"/>
              </w:rPr>
              <w:t>县级自然资源主管部门与环保等部门出具的审核意见</w:t>
            </w:r>
          </w:p>
        </w:tc>
        <w:tc>
          <w:tcPr>
            <w:tcW w:w="411" w:type="pct"/>
            <w:vAlign w:val="center"/>
          </w:tcPr>
          <w:p w14:paraId="7308C261">
            <w:pPr>
              <w:jc w:val="center"/>
              <w:rPr>
                <w:rFonts w:ascii="仿宋_GB2312" w:hAnsi="Times New Roman" w:eastAsia="仿宋_GB2312"/>
                <w:color w:val="auto"/>
                <w:szCs w:val="21"/>
              </w:rPr>
            </w:pPr>
            <w:r>
              <w:rPr>
                <w:rFonts w:ascii="仿宋_GB2312" w:hAnsi="Times New Roman" w:eastAsia="仿宋_GB2312"/>
                <w:color w:val="auto"/>
                <w:szCs w:val="21"/>
              </w:rPr>
              <w:t>1</w:t>
            </w:r>
          </w:p>
        </w:tc>
        <w:tc>
          <w:tcPr>
            <w:tcW w:w="741" w:type="pct"/>
            <w:vMerge w:val="continue"/>
            <w:vAlign w:val="center"/>
          </w:tcPr>
          <w:p w14:paraId="557872E8">
            <w:pPr>
              <w:jc w:val="center"/>
              <w:rPr>
                <w:rFonts w:ascii="仿宋_GB2312" w:hAnsi="Times New Roman" w:eastAsia="仿宋_GB2312"/>
                <w:color w:val="auto"/>
                <w:szCs w:val="21"/>
              </w:rPr>
            </w:pPr>
          </w:p>
        </w:tc>
        <w:tc>
          <w:tcPr>
            <w:tcW w:w="594" w:type="pct"/>
            <w:vMerge w:val="continue"/>
            <w:vAlign w:val="center"/>
          </w:tcPr>
          <w:p w14:paraId="2CA71D0A">
            <w:pPr>
              <w:rPr>
                <w:rFonts w:ascii="仿宋_GB2312" w:hAnsi="Times New Roman" w:eastAsia="仿宋_GB2312"/>
                <w:color w:val="auto"/>
                <w:szCs w:val="21"/>
              </w:rPr>
            </w:pPr>
          </w:p>
        </w:tc>
        <w:tc>
          <w:tcPr>
            <w:tcW w:w="1114" w:type="pct"/>
            <w:vMerge w:val="continue"/>
            <w:vAlign w:val="center"/>
          </w:tcPr>
          <w:p w14:paraId="0D82264F">
            <w:pPr>
              <w:rPr>
                <w:rFonts w:ascii="仿宋_GB2312" w:hAnsi="Times New Roman" w:eastAsia="仿宋_GB2312"/>
                <w:color w:val="auto"/>
                <w:szCs w:val="21"/>
              </w:rPr>
            </w:pPr>
          </w:p>
        </w:tc>
      </w:tr>
      <w:tr w14:paraId="65BD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95" w:type="pct"/>
            <w:vAlign w:val="center"/>
          </w:tcPr>
          <w:p w14:paraId="782C1AC8">
            <w:pPr>
              <w:adjustRightInd w:val="0"/>
              <w:snapToGrid w:val="0"/>
              <w:ind w:firstLine="302" w:firstLineChars="144"/>
              <w:rPr>
                <w:rFonts w:ascii="仿宋_GB2312" w:hAnsi="Times New Roman" w:eastAsia="仿宋_GB2312"/>
                <w:color w:val="auto"/>
                <w:szCs w:val="21"/>
              </w:rPr>
            </w:pPr>
            <w:r>
              <w:rPr>
                <w:rFonts w:hint="eastAsia" w:ascii="仿宋_GB2312" w:hAnsi="Times New Roman" w:eastAsia="仿宋_GB2312"/>
                <w:color w:val="auto"/>
                <w:szCs w:val="21"/>
              </w:rPr>
              <w:t>6</w:t>
            </w:r>
          </w:p>
        </w:tc>
        <w:tc>
          <w:tcPr>
            <w:tcW w:w="1646" w:type="pct"/>
            <w:vAlign w:val="center"/>
          </w:tcPr>
          <w:p w14:paraId="168D2EAF">
            <w:pPr>
              <w:adjustRightInd w:val="0"/>
              <w:snapToGrid w:val="0"/>
              <w:rPr>
                <w:rFonts w:ascii="仿宋_GB2312" w:hAnsi="Times New Roman" w:eastAsia="仿宋_GB2312"/>
                <w:color w:val="auto"/>
                <w:szCs w:val="21"/>
              </w:rPr>
            </w:pPr>
            <w:r>
              <w:rPr>
                <w:rFonts w:hint="eastAsia" w:ascii="仿宋_GB2312" w:hAnsi="Times New Roman" w:eastAsia="仿宋_GB2312"/>
                <w:color w:val="auto"/>
                <w:szCs w:val="21"/>
              </w:rPr>
              <w:t>市级自然资源主管部门与环保等部门出具的复核意见</w:t>
            </w:r>
          </w:p>
        </w:tc>
        <w:tc>
          <w:tcPr>
            <w:tcW w:w="411" w:type="pct"/>
            <w:vAlign w:val="center"/>
          </w:tcPr>
          <w:p w14:paraId="0EF02E97">
            <w:pPr>
              <w:adjustRightInd w:val="0"/>
              <w:snapToGrid w:val="0"/>
              <w:ind w:firstLine="199" w:firstLineChars="95"/>
              <w:jc w:val="left"/>
              <w:rPr>
                <w:rFonts w:ascii="仿宋_GB2312" w:hAnsi="Times New Roman" w:eastAsia="仿宋_GB2312"/>
                <w:color w:val="auto"/>
                <w:szCs w:val="21"/>
              </w:rPr>
            </w:pPr>
            <w:r>
              <w:rPr>
                <w:rFonts w:hint="eastAsia" w:ascii="仿宋_GB2312" w:hAnsi="Times New Roman" w:eastAsia="仿宋_GB2312"/>
                <w:color w:val="auto"/>
                <w:szCs w:val="21"/>
              </w:rPr>
              <w:t>1</w:t>
            </w:r>
          </w:p>
        </w:tc>
        <w:tc>
          <w:tcPr>
            <w:tcW w:w="741" w:type="pct"/>
            <w:vMerge w:val="continue"/>
            <w:vAlign w:val="center"/>
          </w:tcPr>
          <w:p w14:paraId="34AC9E25">
            <w:pPr>
              <w:jc w:val="center"/>
              <w:rPr>
                <w:rFonts w:ascii="仿宋_GB2312" w:hAnsi="Times New Roman" w:eastAsia="仿宋_GB2312"/>
                <w:color w:val="auto"/>
                <w:szCs w:val="21"/>
              </w:rPr>
            </w:pPr>
          </w:p>
        </w:tc>
        <w:tc>
          <w:tcPr>
            <w:tcW w:w="594" w:type="pct"/>
            <w:vMerge w:val="continue"/>
            <w:vAlign w:val="center"/>
          </w:tcPr>
          <w:p w14:paraId="43E9F69A">
            <w:pPr>
              <w:rPr>
                <w:rFonts w:ascii="仿宋_GB2312" w:hAnsi="Times New Roman" w:eastAsia="仿宋_GB2312"/>
                <w:color w:val="auto"/>
                <w:szCs w:val="21"/>
              </w:rPr>
            </w:pPr>
          </w:p>
        </w:tc>
        <w:tc>
          <w:tcPr>
            <w:tcW w:w="1114" w:type="pct"/>
            <w:vMerge w:val="continue"/>
            <w:vAlign w:val="center"/>
          </w:tcPr>
          <w:p w14:paraId="4988DDE6">
            <w:pPr>
              <w:rPr>
                <w:rFonts w:ascii="仿宋_GB2312" w:hAnsi="Times New Roman" w:eastAsia="仿宋_GB2312"/>
                <w:color w:val="auto"/>
                <w:szCs w:val="21"/>
              </w:rPr>
            </w:pPr>
          </w:p>
        </w:tc>
      </w:tr>
      <w:tr w14:paraId="55F4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pct"/>
            <w:vAlign w:val="center"/>
          </w:tcPr>
          <w:p w14:paraId="7D15D6F3">
            <w:pPr>
              <w:jc w:val="center"/>
              <w:rPr>
                <w:rFonts w:ascii="仿宋_GB2312" w:hAnsi="Times New Roman" w:eastAsia="仿宋_GB2312"/>
                <w:color w:val="auto"/>
                <w:szCs w:val="21"/>
              </w:rPr>
            </w:pPr>
            <w:r>
              <w:rPr>
                <w:rFonts w:hint="eastAsia" w:ascii="仿宋_GB2312" w:hAnsi="Times New Roman" w:eastAsia="仿宋_GB2312"/>
                <w:color w:val="auto"/>
                <w:szCs w:val="21"/>
              </w:rPr>
              <w:t>7</w:t>
            </w:r>
          </w:p>
        </w:tc>
        <w:tc>
          <w:tcPr>
            <w:tcW w:w="1646" w:type="pct"/>
            <w:vAlign w:val="center"/>
          </w:tcPr>
          <w:p w14:paraId="7CAE0A5B">
            <w:pPr>
              <w:rPr>
                <w:rFonts w:ascii="仿宋_GB2312" w:hAnsi="Times New Roman" w:eastAsia="仿宋_GB2312"/>
                <w:color w:val="auto"/>
                <w:szCs w:val="21"/>
              </w:rPr>
            </w:pPr>
            <w:r>
              <w:rPr>
                <w:rFonts w:hint="eastAsia" w:ascii="仿宋_GB2312" w:hAnsi="Times New Roman" w:eastAsia="仿宋_GB2312"/>
                <w:color w:val="auto"/>
                <w:szCs w:val="21"/>
              </w:rPr>
              <w:t>其他证明材料</w:t>
            </w:r>
          </w:p>
        </w:tc>
        <w:tc>
          <w:tcPr>
            <w:tcW w:w="411" w:type="pct"/>
            <w:vAlign w:val="center"/>
          </w:tcPr>
          <w:p w14:paraId="39818F7B">
            <w:pPr>
              <w:jc w:val="center"/>
              <w:rPr>
                <w:rFonts w:ascii="仿宋_GB2312" w:hAnsi="Times New Roman" w:eastAsia="仿宋_GB2312"/>
                <w:color w:val="auto"/>
                <w:szCs w:val="21"/>
              </w:rPr>
            </w:pPr>
            <w:r>
              <w:rPr>
                <w:rFonts w:hint="eastAsia" w:ascii="仿宋_GB2312" w:hAnsi="Times New Roman" w:eastAsia="仿宋_GB2312"/>
                <w:color w:val="auto"/>
                <w:szCs w:val="21"/>
              </w:rPr>
              <w:t>1</w:t>
            </w:r>
          </w:p>
        </w:tc>
        <w:tc>
          <w:tcPr>
            <w:tcW w:w="741" w:type="pct"/>
            <w:vMerge w:val="continue"/>
            <w:vAlign w:val="center"/>
          </w:tcPr>
          <w:p w14:paraId="1619C5E1">
            <w:pPr>
              <w:jc w:val="center"/>
              <w:rPr>
                <w:rFonts w:ascii="仿宋_GB2312" w:hAnsi="Times New Roman" w:eastAsia="仿宋_GB2312"/>
                <w:color w:val="auto"/>
                <w:szCs w:val="21"/>
              </w:rPr>
            </w:pPr>
          </w:p>
        </w:tc>
        <w:tc>
          <w:tcPr>
            <w:tcW w:w="594" w:type="pct"/>
            <w:vMerge w:val="continue"/>
            <w:vAlign w:val="center"/>
          </w:tcPr>
          <w:p w14:paraId="5A50D6A8">
            <w:pPr>
              <w:rPr>
                <w:rFonts w:ascii="仿宋_GB2312" w:hAnsi="Times New Roman" w:eastAsia="仿宋_GB2312"/>
                <w:color w:val="auto"/>
                <w:szCs w:val="21"/>
              </w:rPr>
            </w:pPr>
          </w:p>
        </w:tc>
        <w:tc>
          <w:tcPr>
            <w:tcW w:w="1114" w:type="pct"/>
            <w:vMerge w:val="continue"/>
            <w:vAlign w:val="center"/>
          </w:tcPr>
          <w:p w14:paraId="79213F1E">
            <w:pPr>
              <w:rPr>
                <w:rFonts w:ascii="仿宋_GB2312" w:hAnsi="Times New Roman" w:eastAsia="仿宋_GB2312"/>
                <w:color w:val="auto"/>
                <w:szCs w:val="21"/>
              </w:rPr>
            </w:pPr>
          </w:p>
        </w:tc>
      </w:tr>
    </w:tbl>
    <w:p w14:paraId="3F2F0221">
      <w:pPr>
        <w:ind w:firstLine="640" w:firstLineChars="200"/>
        <w:rPr>
          <w:rFonts w:ascii="楷体_GB2312" w:hAnsi="仿宋" w:eastAsia="楷体_GB2312"/>
          <w:color w:val="auto"/>
          <w:sz w:val="32"/>
          <w:szCs w:val="32"/>
          <w:highlight w:val="yellow"/>
        </w:rPr>
      </w:pPr>
      <w:r>
        <w:rPr>
          <w:rFonts w:hint="eastAsia" w:ascii="楷体_GB2312" w:hAnsi="仿宋" w:eastAsia="楷体_GB2312"/>
          <w:color w:val="auto"/>
          <w:sz w:val="32"/>
          <w:szCs w:val="32"/>
        </w:rPr>
        <w:t>（二）推荐国家级绿色矿山。</w:t>
      </w:r>
      <w:r>
        <w:rPr>
          <w:rFonts w:hint="eastAsia" w:ascii="仿宋" w:hAnsi="仿宋" w:eastAsia="仿宋"/>
          <w:color w:val="auto"/>
          <w:sz w:val="32"/>
          <w:szCs w:val="32"/>
        </w:rPr>
        <w:t>省自然资源厅可按照自然资源部相关工作要求，择优从省级绿色矿山名录中遴选推荐至自然资源部，申请纳入全国绿色矿山名录。</w:t>
      </w:r>
    </w:p>
    <w:p w14:paraId="158D7774">
      <w:pPr>
        <w:ind w:firstLine="640" w:firstLineChars="200"/>
        <w:rPr>
          <w:rFonts w:ascii="黑体" w:hAnsi="黑体" w:eastAsia="黑体"/>
          <w:color w:val="auto"/>
          <w:sz w:val="32"/>
          <w:szCs w:val="32"/>
        </w:rPr>
      </w:pPr>
      <w:r>
        <w:rPr>
          <w:rFonts w:hint="eastAsia" w:ascii="黑体" w:hAnsi="黑体" w:eastAsia="黑体"/>
          <w:color w:val="auto"/>
          <w:sz w:val="32"/>
          <w:szCs w:val="32"/>
        </w:rPr>
        <w:t>五、监督管理</w:t>
      </w:r>
    </w:p>
    <w:p w14:paraId="1EA8643F">
      <w:pPr>
        <w:ind w:firstLine="640" w:firstLineChars="200"/>
        <w:rPr>
          <w:rFonts w:ascii="仿宋" w:hAnsi="仿宋" w:eastAsia="仿宋"/>
          <w:color w:val="auto"/>
          <w:sz w:val="32"/>
          <w:szCs w:val="32"/>
        </w:rPr>
      </w:pPr>
      <w:r>
        <w:rPr>
          <w:rFonts w:hint="eastAsia" w:ascii="楷体_GB2312" w:hAnsi="仿宋" w:eastAsia="楷体_GB2312"/>
          <w:color w:val="auto"/>
          <w:sz w:val="32"/>
          <w:szCs w:val="32"/>
        </w:rPr>
        <w:t>（一）优惠政策。</w:t>
      </w:r>
      <w:r>
        <w:rPr>
          <w:rFonts w:hint="eastAsia" w:ascii="仿宋" w:hAnsi="仿宋" w:eastAsia="仿宋"/>
          <w:color w:val="auto"/>
          <w:sz w:val="32"/>
          <w:szCs w:val="32"/>
        </w:rPr>
        <w:t>自纳入省级绿色矿山名录之日起，绿色矿山企业享受辽宁省绿色矿山支持政策；纳入</w:t>
      </w:r>
      <w:r>
        <w:rPr>
          <w:rFonts w:ascii="仿宋" w:hAnsi="仿宋" w:eastAsia="仿宋"/>
          <w:color w:val="auto"/>
          <w:sz w:val="32"/>
          <w:szCs w:val="32"/>
        </w:rPr>
        <w:t>国家绿色矿山名录的矿山企业，享受国家绿色矿山支持政策，不再享受辽宁省</w:t>
      </w:r>
      <w:r>
        <w:rPr>
          <w:rFonts w:hint="eastAsia" w:ascii="仿宋" w:hAnsi="仿宋" w:eastAsia="仿宋"/>
          <w:color w:val="auto"/>
          <w:sz w:val="32"/>
          <w:szCs w:val="32"/>
        </w:rPr>
        <w:t>绿色矿山支持政策。</w:t>
      </w:r>
    </w:p>
    <w:p w14:paraId="5FE2F612">
      <w:pPr>
        <w:ind w:firstLine="640" w:firstLineChars="200"/>
        <w:rPr>
          <w:rFonts w:ascii="仿宋" w:hAnsi="仿宋" w:eastAsia="仿宋"/>
          <w:color w:val="auto"/>
          <w:sz w:val="32"/>
          <w:szCs w:val="32"/>
        </w:rPr>
      </w:pPr>
      <w:r>
        <w:rPr>
          <w:rFonts w:hint="eastAsia" w:ascii="楷体_GB2312" w:hAnsi="仿宋" w:eastAsia="楷体_GB2312"/>
          <w:color w:val="auto"/>
          <w:sz w:val="32"/>
          <w:szCs w:val="32"/>
        </w:rPr>
        <w:t>（二）企业责任。</w:t>
      </w:r>
      <w:r>
        <w:rPr>
          <w:rFonts w:hint="eastAsia" w:ascii="仿宋" w:hAnsi="仿宋" w:eastAsia="仿宋"/>
          <w:color w:val="auto"/>
          <w:sz w:val="32"/>
          <w:szCs w:val="32"/>
        </w:rPr>
        <w:t>省级绿色矿山名录中绿色矿山企业应主动发布年度报告，公开相关建设情况，接受社会监督，建立重大环境、健康、安全和社会风险事件申诉-回应机制，及时受理并回应所在地民众、社会团体和其他利益相关者的诉求。</w:t>
      </w:r>
    </w:p>
    <w:p w14:paraId="3D6C31BB">
      <w:pPr>
        <w:ind w:firstLine="640" w:firstLineChars="200"/>
        <w:rPr>
          <w:rFonts w:ascii="楷体_GB2312" w:hAnsi="仿宋" w:eastAsia="楷体_GB2312"/>
          <w:color w:val="auto"/>
          <w:sz w:val="32"/>
          <w:szCs w:val="32"/>
        </w:rPr>
      </w:pPr>
      <w:r>
        <w:rPr>
          <w:rFonts w:hint="eastAsia" w:ascii="楷体_GB2312" w:hAnsi="仿宋" w:eastAsia="楷体_GB2312"/>
          <w:color w:val="auto"/>
          <w:sz w:val="32"/>
          <w:szCs w:val="32"/>
        </w:rPr>
        <w:t>（三）社会监督。</w:t>
      </w:r>
      <w:r>
        <w:rPr>
          <w:rFonts w:hint="eastAsia" w:ascii="仿宋" w:hAnsi="仿宋" w:eastAsia="仿宋"/>
          <w:color w:val="auto"/>
          <w:sz w:val="32"/>
          <w:szCs w:val="32"/>
        </w:rPr>
        <w:t>矿山企业通过相关平台，向社会公开，接受监督。自然资源主管部门接受社会反馈与举报，并</w:t>
      </w:r>
      <w:r>
        <w:rPr>
          <w:rFonts w:ascii="仿宋" w:hAnsi="仿宋" w:eastAsia="仿宋"/>
          <w:color w:val="auto"/>
          <w:sz w:val="32"/>
          <w:szCs w:val="32"/>
        </w:rPr>
        <w:t>对</w:t>
      </w:r>
      <w:r>
        <w:rPr>
          <w:rFonts w:hint="eastAsia" w:ascii="仿宋" w:hAnsi="仿宋" w:eastAsia="仿宋"/>
          <w:color w:val="auto"/>
          <w:sz w:val="32"/>
          <w:szCs w:val="32"/>
        </w:rPr>
        <w:t>举报情况进行核查，情况属实的，责令企业整改。</w:t>
      </w:r>
    </w:p>
    <w:p w14:paraId="38B9F67B">
      <w:pPr>
        <w:ind w:firstLine="640" w:firstLineChars="200"/>
        <w:rPr>
          <w:rFonts w:ascii="楷体_GB2312" w:hAnsi="仿宋" w:eastAsia="楷体_GB2312"/>
          <w:color w:val="auto"/>
          <w:sz w:val="32"/>
          <w:szCs w:val="32"/>
        </w:rPr>
      </w:pPr>
      <w:r>
        <w:rPr>
          <w:rFonts w:hint="eastAsia" w:ascii="楷体_GB2312" w:hAnsi="仿宋" w:eastAsia="楷体_GB2312"/>
          <w:color w:val="auto"/>
          <w:sz w:val="32"/>
          <w:szCs w:val="32"/>
        </w:rPr>
        <w:t>（四）主管部门监管。</w:t>
      </w:r>
      <w:r>
        <w:rPr>
          <w:rFonts w:hint="eastAsia" w:ascii="仿宋" w:hAnsi="仿宋" w:eastAsia="仿宋"/>
          <w:color w:val="auto"/>
          <w:sz w:val="32"/>
          <w:szCs w:val="32"/>
        </w:rPr>
        <w:t>省自然资源厅按照“双随机、一公开”的要求，不定期组织对纳入省级绿色矿山名录的矿山企业进行抽查；市、县级自然资源主管部门做好日常监督管理，加强对省级绿色矿山名录中绿色矿山进行巡查，掌握绿色矿山建设情况。对绿色矿山依法进行监督检查时，相关矿山企业应当支持和配合，如实提供有关情况和材料。</w:t>
      </w:r>
    </w:p>
    <w:p w14:paraId="00A50E87">
      <w:pPr>
        <w:ind w:firstLine="640" w:firstLineChars="200"/>
        <w:rPr>
          <w:color w:val="auto"/>
        </w:rPr>
      </w:pPr>
      <w:r>
        <w:rPr>
          <w:rFonts w:hint="eastAsia" w:ascii="楷体_GB2312" w:hAnsi="仿宋" w:eastAsia="楷体_GB2312"/>
          <w:color w:val="auto"/>
          <w:sz w:val="32"/>
          <w:szCs w:val="32"/>
        </w:rPr>
        <w:t>（五）整改与除名。</w:t>
      </w:r>
      <w:r>
        <w:rPr>
          <w:rFonts w:hint="eastAsia" w:ascii="仿宋" w:hAnsi="仿宋" w:eastAsia="仿宋"/>
          <w:color w:val="auto"/>
          <w:sz w:val="32"/>
          <w:szCs w:val="32"/>
        </w:rPr>
        <w:t>不符合绿色矿山建设要求和相关标准的，责令企业整改，整改期间暂停享受相关优惠政策，经整改合格后继续享受相关优惠政策。整改后仍不合格的由省自然资源厅在门户网站上公示后，从省级绿色矿山名录中除名，不再享受绿色矿山各类支持政策。</w:t>
      </w:r>
    </w:p>
    <w:p w14:paraId="02594E97">
      <w:pPr>
        <w:rPr>
          <w:color w:val="auto"/>
        </w:rPr>
      </w:pPr>
    </w:p>
    <w:p w14:paraId="1AC8A576">
      <w:pPr>
        <w:pStyle w:val="11"/>
        <w:widowControl/>
        <w:adjustRightInd w:val="0"/>
        <w:snapToGrid w:val="0"/>
        <w:spacing w:before="0" w:beforeAutospacing="0" w:after="0" w:afterAutospacing="0" w:line="360" w:lineRule="auto"/>
        <w:ind w:firstLine="1500" w:firstLineChars="500"/>
        <w:jc w:val="both"/>
        <w:rPr>
          <w:rFonts w:ascii="仿宋" w:hAnsi="仿宋" w:eastAsia="仿宋" w:cs="宋体"/>
          <w:color w:val="auto"/>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Calibri Light">
    <w:altName w:val="DejaVu Sans"/>
    <w:panose1 w:val="020F030202020403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
    </w:sdtPr>
    <w:sdtEndPr>
      <w:rPr>
        <w:color w:val="auto"/>
      </w:rPr>
    </w:sdtEndPr>
    <w:sdtContent>
      <w:p w14:paraId="459F26BA">
        <w:pPr>
          <w:pStyle w:val="7"/>
          <w:jc w:val="center"/>
          <w:rPr>
            <w:color w:val="auto"/>
          </w:rPr>
        </w:pPr>
        <w:r>
          <w:rPr>
            <w:color w:val="auto"/>
          </w:rPr>
          <w:fldChar w:fldCharType="begin"/>
        </w:r>
        <w:r>
          <w:rPr>
            <w:color w:val="auto"/>
          </w:rPr>
          <w:instrText xml:space="preserve">PAGE   \* MERGEFORMAT</w:instrText>
        </w:r>
        <w:r>
          <w:rPr>
            <w:color w:val="auto"/>
          </w:rPr>
          <w:fldChar w:fldCharType="separate"/>
        </w:r>
        <w:r>
          <w:rPr>
            <w:color w:val="auto"/>
            <w:lang w:val="zh-CN"/>
          </w:rPr>
          <w:t>1</w:t>
        </w:r>
        <w:r>
          <w:rPr>
            <w:color w:val="auto"/>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572F48"/>
    <w:multiLevelType w:val="multilevel"/>
    <w:tmpl w:val="4A572F48"/>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hNDEzM2RiMDNlZmY1YjEwMDQ3YzY1OGI2MTMwMDIifQ=="/>
  </w:docVars>
  <w:rsids>
    <w:rsidRoot w:val="00214223"/>
    <w:rsid w:val="00027A8F"/>
    <w:rsid w:val="000437EA"/>
    <w:rsid w:val="000627CC"/>
    <w:rsid w:val="00070B34"/>
    <w:rsid w:val="000718D8"/>
    <w:rsid w:val="00081956"/>
    <w:rsid w:val="00091F34"/>
    <w:rsid w:val="0009712B"/>
    <w:rsid w:val="000B5186"/>
    <w:rsid w:val="000C4C7C"/>
    <w:rsid w:val="000E79D3"/>
    <w:rsid w:val="001035B1"/>
    <w:rsid w:val="00106615"/>
    <w:rsid w:val="0014407F"/>
    <w:rsid w:val="00147861"/>
    <w:rsid w:val="00152613"/>
    <w:rsid w:val="001659CF"/>
    <w:rsid w:val="00185886"/>
    <w:rsid w:val="001A39BB"/>
    <w:rsid w:val="001B220B"/>
    <w:rsid w:val="001C1284"/>
    <w:rsid w:val="00214223"/>
    <w:rsid w:val="002215C5"/>
    <w:rsid w:val="002242E2"/>
    <w:rsid w:val="00266842"/>
    <w:rsid w:val="002E0C63"/>
    <w:rsid w:val="002E691D"/>
    <w:rsid w:val="003028A7"/>
    <w:rsid w:val="00303014"/>
    <w:rsid w:val="003220D1"/>
    <w:rsid w:val="003526D3"/>
    <w:rsid w:val="0037707C"/>
    <w:rsid w:val="003A5C3B"/>
    <w:rsid w:val="00433834"/>
    <w:rsid w:val="00434105"/>
    <w:rsid w:val="00437F7B"/>
    <w:rsid w:val="00457B87"/>
    <w:rsid w:val="00463D94"/>
    <w:rsid w:val="0046577D"/>
    <w:rsid w:val="0048377D"/>
    <w:rsid w:val="004D522C"/>
    <w:rsid w:val="00502825"/>
    <w:rsid w:val="00503C2A"/>
    <w:rsid w:val="00561DF6"/>
    <w:rsid w:val="00580861"/>
    <w:rsid w:val="005A0E14"/>
    <w:rsid w:val="005D45C5"/>
    <w:rsid w:val="005E6F8E"/>
    <w:rsid w:val="00616AF2"/>
    <w:rsid w:val="006545E4"/>
    <w:rsid w:val="00674B25"/>
    <w:rsid w:val="006D533D"/>
    <w:rsid w:val="006F0C13"/>
    <w:rsid w:val="007474A1"/>
    <w:rsid w:val="00754F5F"/>
    <w:rsid w:val="00755931"/>
    <w:rsid w:val="00756C86"/>
    <w:rsid w:val="00771318"/>
    <w:rsid w:val="007F12EB"/>
    <w:rsid w:val="007F40A8"/>
    <w:rsid w:val="00822ACC"/>
    <w:rsid w:val="008340D9"/>
    <w:rsid w:val="00857288"/>
    <w:rsid w:val="008663B2"/>
    <w:rsid w:val="00891EBD"/>
    <w:rsid w:val="0089320F"/>
    <w:rsid w:val="008A03EF"/>
    <w:rsid w:val="008A7E3D"/>
    <w:rsid w:val="008D0F95"/>
    <w:rsid w:val="00931DE0"/>
    <w:rsid w:val="00933E04"/>
    <w:rsid w:val="00961747"/>
    <w:rsid w:val="00971E0B"/>
    <w:rsid w:val="00976ABF"/>
    <w:rsid w:val="00986876"/>
    <w:rsid w:val="00A36F12"/>
    <w:rsid w:val="00A5378A"/>
    <w:rsid w:val="00B5569D"/>
    <w:rsid w:val="00B76B38"/>
    <w:rsid w:val="00B85193"/>
    <w:rsid w:val="00BA02CD"/>
    <w:rsid w:val="00BC76BD"/>
    <w:rsid w:val="00BF3CF0"/>
    <w:rsid w:val="00C10516"/>
    <w:rsid w:val="00C11625"/>
    <w:rsid w:val="00C21871"/>
    <w:rsid w:val="00C40C61"/>
    <w:rsid w:val="00C661BD"/>
    <w:rsid w:val="00C75D1E"/>
    <w:rsid w:val="00C87455"/>
    <w:rsid w:val="00CD5229"/>
    <w:rsid w:val="00CF1B4E"/>
    <w:rsid w:val="00CF4621"/>
    <w:rsid w:val="00D0612C"/>
    <w:rsid w:val="00D10B2F"/>
    <w:rsid w:val="00D240EA"/>
    <w:rsid w:val="00D56E4A"/>
    <w:rsid w:val="00D90C8C"/>
    <w:rsid w:val="00DA293B"/>
    <w:rsid w:val="00DC7608"/>
    <w:rsid w:val="00DF3960"/>
    <w:rsid w:val="00E064DC"/>
    <w:rsid w:val="00E41927"/>
    <w:rsid w:val="00E544F1"/>
    <w:rsid w:val="00E675B4"/>
    <w:rsid w:val="00E675E3"/>
    <w:rsid w:val="00E72040"/>
    <w:rsid w:val="00EB2C0B"/>
    <w:rsid w:val="00F14863"/>
    <w:rsid w:val="00F515C1"/>
    <w:rsid w:val="00F572CC"/>
    <w:rsid w:val="00F81F80"/>
    <w:rsid w:val="00F82F69"/>
    <w:rsid w:val="00F9056A"/>
    <w:rsid w:val="00FB0A72"/>
    <w:rsid w:val="00FD74F8"/>
    <w:rsid w:val="00FF42A3"/>
    <w:rsid w:val="01AD1020"/>
    <w:rsid w:val="09664528"/>
    <w:rsid w:val="0B0E4E77"/>
    <w:rsid w:val="0D251D18"/>
    <w:rsid w:val="0FD07339"/>
    <w:rsid w:val="17C214C3"/>
    <w:rsid w:val="183228B6"/>
    <w:rsid w:val="1A147FD0"/>
    <w:rsid w:val="1FDC333E"/>
    <w:rsid w:val="2B3A1BFB"/>
    <w:rsid w:val="2FAA48BF"/>
    <w:rsid w:val="3B7FF261"/>
    <w:rsid w:val="3DE06C5C"/>
    <w:rsid w:val="3E953C4F"/>
    <w:rsid w:val="3FFF277B"/>
    <w:rsid w:val="471F573B"/>
    <w:rsid w:val="4F3D7B0D"/>
    <w:rsid w:val="5170458F"/>
    <w:rsid w:val="53A2397B"/>
    <w:rsid w:val="54E67898"/>
    <w:rsid w:val="677221C7"/>
    <w:rsid w:val="77E37F3B"/>
    <w:rsid w:val="799040F2"/>
    <w:rsid w:val="7FCA8295"/>
    <w:rsid w:val="7FDD8AA4"/>
    <w:rsid w:val="7FFFA375"/>
    <w:rsid w:val="9D5F182A"/>
    <w:rsid w:val="B5E5E7DA"/>
    <w:rsid w:val="BF6F330F"/>
    <w:rsid w:val="DE2F88B3"/>
    <w:rsid w:val="FDCF9613"/>
    <w:rsid w:val="FF66A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7"/>
    <w:qFormat/>
    <w:uiPriority w:val="1"/>
    <w:pPr>
      <w:keepNext/>
      <w:keepLines/>
      <w:spacing w:before="50" w:beforeLines="50" w:after="50" w:afterLines="50" w:line="360" w:lineRule="auto"/>
      <w:jc w:val="center"/>
      <w:outlineLvl w:val="0"/>
    </w:pPr>
    <w:rPr>
      <w:rFonts w:eastAsia="宋体"/>
      <w:b/>
      <w:bCs/>
      <w:kern w:val="44"/>
      <w:sz w:val="44"/>
      <w:szCs w:val="44"/>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unhideWhenUsed/>
    <w:qFormat/>
    <w:uiPriority w:val="0"/>
    <w:pPr>
      <w:jc w:val="left"/>
    </w:pPr>
  </w:style>
  <w:style w:type="paragraph" w:styleId="6">
    <w:name w:val="Balloon Text"/>
    <w:basedOn w:val="1"/>
    <w:link w:val="22"/>
    <w:semiHidden/>
    <w:unhideWhenUsed/>
    <w:qFormat/>
    <w:uiPriority w:val="99"/>
    <w:rPr>
      <w:sz w:val="18"/>
      <w:szCs w:val="18"/>
    </w:rPr>
  </w:style>
  <w:style w:type="paragraph" w:styleId="7">
    <w:name w:val="footer"/>
    <w:basedOn w:val="1"/>
    <w:link w:val="19"/>
    <w:unhideWhenUsed/>
    <w:qFormat/>
    <w:uiPriority w:val="0"/>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rPr>
      <w:rFonts w:ascii="Calibri" w:hAnsi="Calibri" w:eastAsia="宋体"/>
      <w:b/>
      <w:szCs w:val="24"/>
    </w:rPr>
  </w:style>
  <w:style w:type="paragraph" w:styleId="10">
    <w:name w:val="toc 2"/>
    <w:basedOn w:val="1"/>
    <w:next w:val="1"/>
    <w:qFormat/>
    <w:uiPriority w:val="39"/>
    <w:pPr>
      <w:tabs>
        <w:tab w:val="right" w:leader="dot" w:pos="8296"/>
      </w:tabs>
      <w:jc w:val="center"/>
    </w:pPr>
    <w:rPr>
      <w:rFonts w:ascii="黑体" w:hAnsi="黑体" w:eastAsia="宋体"/>
      <w:szCs w:val="44"/>
    </w:rPr>
  </w:style>
  <w:style w:type="paragraph" w:styleId="11">
    <w:name w:val="Normal (Web)"/>
    <w:basedOn w:val="1"/>
    <w:qFormat/>
    <w:uiPriority w:val="0"/>
    <w:pPr>
      <w:spacing w:before="100" w:beforeAutospacing="1" w:after="100" w:afterAutospacing="1"/>
      <w:jc w:val="left"/>
    </w:pPr>
    <w:rPr>
      <w:rFonts w:ascii="Calibri" w:hAnsi="Calibri" w:eastAsia="宋体"/>
      <w:kern w:val="0"/>
      <w:sz w:val="24"/>
      <w:szCs w:val="24"/>
    </w:rPr>
  </w:style>
  <w:style w:type="paragraph" w:styleId="12">
    <w:name w:val="annotation subject"/>
    <w:basedOn w:val="5"/>
    <w:next w:val="5"/>
    <w:link w:val="21"/>
    <w:semiHidden/>
    <w:unhideWhenUsed/>
    <w:qFormat/>
    <w:uiPriority w:val="99"/>
    <w:rPr>
      <w:b/>
      <w:bCs/>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unhideWhenUsed/>
    <w:qFormat/>
    <w:uiPriority w:val="0"/>
    <w:rPr>
      <w:sz w:val="21"/>
      <w:szCs w:val="21"/>
    </w:rPr>
  </w:style>
  <w:style w:type="character" w:customStyle="1" w:styleId="17">
    <w:name w:val="标题 1 Char"/>
    <w:basedOn w:val="15"/>
    <w:link w:val="2"/>
    <w:qFormat/>
    <w:uiPriority w:val="1"/>
    <w:rPr>
      <w:rFonts w:ascii="等线" w:hAnsi="等线" w:eastAsia="宋体" w:cs="Times New Roman"/>
      <w:b/>
      <w:bCs/>
      <w:kern w:val="44"/>
      <w:sz w:val="44"/>
      <w:szCs w:val="44"/>
    </w:rPr>
  </w:style>
  <w:style w:type="character" w:customStyle="1" w:styleId="18">
    <w:name w:val="页眉 Char"/>
    <w:basedOn w:val="15"/>
    <w:link w:val="8"/>
    <w:qFormat/>
    <w:uiPriority w:val="99"/>
    <w:rPr>
      <w:rFonts w:ascii="等线" w:hAnsi="等线" w:eastAsia="等线" w:cs="Times New Roman"/>
      <w:kern w:val="2"/>
      <w:sz w:val="18"/>
      <w:szCs w:val="18"/>
    </w:rPr>
  </w:style>
  <w:style w:type="character" w:customStyle="1" w:styleId="19">
    <w:name w:val="页脚 Char"/>
    <w:basedOn w:val="15"/>
    <w:link w:val="7"/>
    <w:qFormat/>
    <w:uiPriority w:val="99"/>
    <w:rPr>
      <w:rFonts w:ascii="等线" w:hAnsi="等线" w:eastAsia="等线" w:cs="Times New Roman"/>
      <w:kern w:val="2"/>
      <w:sz w:val="18"/>
      <w:szCs w:val="18"/>
    </w:rPr>
  </w:style>
  <w:style w:type="character" w:customStyle="1" w:styleId="20">
    <w:name w:val="批注文字 Char"/>
    <w:basedOn w:val="15"/>
    <w:link w:val="5"/>
    <w:qFormat/>
    <w:uiPriority w:val="0"/>
    <w:rPr>
      <w:rFonts w:ascii="等线" w:hAnsi="等线" w:eastAsia="等线" w:cs="Times New Roman"/>
      <w:kern w:val="2"/>
      <w:sz w:val="21"/>
      <w:szCs w:val="22"/>
    </w:rPr>
  </w:style>
  <w:style w:type="character" w:customStyle="1" w:styleId="21">
    <w:name w:val="批注主题 Char"/>
    <w:basedOn w:val="20"/>
    <w:link w:val="12"/>
    <w:semiHidden/>
    <w:qFormat/>
    <w:uiPriority w:val="99"/>
    <w:rPr>
      <w:rFonts w:ascii="等线" w:hAnsi="等线" w:eastAsia="等线" w:cs="Times New Roman"/>
      <w:b/>
      <w:bCs/>
      <w:kern w:val="2"/>
      <w:sz w:val="21"/>
      <w:szCs w:val="22"/>
    </w:rPr>
  </w:style>
  <w:style w:type="character" w:customStyle="1" w:styleId="22">
    <w:name w:val="批注框文本 Char"/>
    <w:basedOn w:val="15"/>
    <w:link w:val="6"/>
    <w:semiHidden/>
    <w:qFormat/>
    <w:uiPriority w:val="99"/>
    <w:rPr>
      <w:rFonts w:ascii="等线" w:hAnsi="等线" w:eastAsia="等线" w:cs="Times New Roman"/>
      <w:kern w:val="2"/>
      <w:sz w:val="18"/>
      <w:szCs w:val="18"/>
    </w:rPr>
  </w:style>
  <w:style w:type="character" w:customStyle="1" w:styleId="23">
    <w:name w:val="fontstyle01"/>
    <w:basedOn w:val="15"/>
    <w:qFormat/>
    <w:uiPriority w:val="0"/>
    <w:rPr>
      <w:rFonts w:hint="eastAsia" w:ascii="宋体" w:hAnsi="宋体" w:eastAsia="宋体"/>
      <w:color w:val="000000"/>
      <w:sz w:val="40"/>
      <w:szCs w:val="40"/>
    </w:rPr>
  </w:style>
  <w:style w:type="character" w:customStyle="1" w:styleId="24">
    <w:name w:val="标题 2 Char"/>
    <w:basedOn w:val="15"/>
    <w:link w:val="3"/>
    <w:semiHidden/>
    <w:qFormat/>
    <w:uiPriority w:val="9"/>
    <w:rPr>
      <w:rFonts w:asciiTheme="majorHAnsi" w:hAnsiTheme="majorHAnsi" w:eastAsiaTheme="majorEastAsia" w:cstheme="majorBidi"/>
      <w:b/>
      <w:bCs/>
      <w:kern w:val="2"/>
      <w:sz w:val="32"/>
      <w:szCs w:val="32"/>
    </w:rPr>
  </w:style>
  <w:style w:type="character" w:customStyle="1" w:styleId="25">
    <w:name w:val="标题 3 Char"/>
    <w:basedOn w:val="15"/>
    <w:link w:val="4"/>
    <w:semiHidden/>
    <w:qFormat/>
    <w:uiPriority w:val="9"/>
    <w:rPr>
      <w:rFonts w:ascii="等线" w:hAnsi="等线" w:eastAsia="等线" w:cs="Times New Roman"/>
      <w:b/>
      <w:bCs/>
      <w:kern w:val="2"/>
      <w:sz w:val="32"/>
      <w:szCs w:val="32"/>
    </w:rPr>
  </w:style>
  <w:style w:type="paragraph" w:customStyle="1" w:styleId="26">
    <w:name w:val="三级标题"/>
    <w:basedOn w:val="1"/>
    <w:qFormat/>
    <w:uiPriority w:val="0"/>
    <w:pPr>
      <w:spacing w:line="360" w:lineRule="auto"/>
      <w:ind w:firstLine="196" w:firstLineChars="196"/>
    </w:pPr>
    <w:rPr>
      <w:rFonts w:ascii="宋体" w:hAnsi="宋体" w:eastAsia="宋体"/>
      <w:b/>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1835</Words>
  <Characters>10464</Characters>
  <Lines>87</Lines>
  <Paragraphs>24</Paragraphs>
  <TotalTime>309</TotalTime>
  <ScaleCrop>false</ScaleCrop>
  <LinksUpToDate>false</LinksUpToDate>
  <CharactersWithSpaces>12275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2025-02-12T21:47:00Z</dcterms:created>
  <dc:creator>cui</dc:creator>
  <cp:lastModifiedBy>user</cp:lastModifiedBy>
  <dcterms:modified xsi:type="dcterms:W3CDTF">2025-07-30T11:00:27Z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9A1D0A9459031874CB8A8968A5B64C1B_43</vt:lpwstr>
  </property>
</Properties>
</file>