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526732">
      <w:pPr>
        <w:keepNext w:val="0"/>
        <w:keepLines w:val="0"/>
        <w:pageBreakBefore w:val="0"/>
        <w:widowControl w:val="0"/>
        <w:kinsoku/>
        <w:wordWrap/>
        <w:overflowPunct/>
        <w:topLinePunct w:val="0"/>
        <w:autoSpaceDE/>
        <w:autoSpaceDN/>
        <w:bidi w:val="0"/>
        <w:adjustRightInd/>
        <w:snapToGrid/>
        <w:spacing w:before="313" w:beforeLines="100" w:after="313" w:afterLines="100"/>
        <w:jc w:val="center"/>
        <w:textAlignment w:val="auto"/>
        <w:rPr>
          <w:rFonts w:hint="eastAsia" w:ascii="方正小标宋_GBK" w:hAnsi="方正小标宋_GBK" w:eastAsia="方正小标宋_GBK" w:cs="方正小标宋_GBK"/>
          <w:b/>
          <w:bCs/>
          <w:sz w:val="44"/>
          <w:szCs w:val="44"/>
        </w:rPr>
      </w:pPr>
      <w:r>
        <w:rPr>
          <w:rFonts w:hint="eastAsia" w:ascii="方正小标宋_GBK" w:hAnsi="方正小标宋_GBK" w:eastAsia="方正小标宋_GBK" w:cs="方正小标宋_GBK"/>
          <w:b/>
          <w:bCs/>
          <w:sz w:val="44"/>
          <w:szCs w:val="44"/>
        </w:rPr>
        <w:t>理化指标、验收标准及合同主要条款</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6"/>
        <w:gridCol w:w="7555"/>
      </w:tblGrid>
      <w:tr w14:paraId="05791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6" w:type="dxa"/>
            <w:vAlign w:val="center"/>
          </w:tcPr>
          <w:p w14:paraId="0B0A15FC">
            <w:pPr>
              <w:keepNext w:val="0"/>
              <w:keepLines w:val="0"/>
              <w:widowControl/>
              <w:suppressLineNumbers w:val="0"/>
              <w:jc w:val="center"/>
              <w:textAlignment w:val="center"/>
              <w:rPr>
                <w:rFonts w:hint="eastAsia" w:ascii="仿宋" w:hAnsi="仿宋" w:eastAsia="仿宋" w:cs="仿宋"/>
                <w:b/>
                <w:bCs/>
                <w:i w:val="0"/>
                <w:iCs w:val="0"/>
                <w:color w:val="000000"/>
                <w:kern w:val="2"/>
                <w:sz w:val="28"/>
                <w:szCs w:val="28"/>
                <w:u w:val="none"/>
                <w:lang w:val="en-US" w:eastAsia="zh-CN" w:bidi="ar-SA"/>
              </w:rPr>
            </w:pPr>
            <w:r>
              <w:rPr>
                <w:rFonts w:hint="eastAsia" w:ascii="仿宋" w:hAnsi="仿宋" w:eastAsia="仿宋" w:cs="仿宋"/>
                <w:b/>
                <w:bCs/>
                <w:i w:val="0"/>
                <w:iCs w:val="0"/>
                <w:color w:val="000000"/>
                <w:kern w:val="0"/>
                <w:sz w:val="28"/>
                <w:szCs w:val="28"/>
                <w:u w:val="none"/>
                <w:lang w:val="en-US" w:eastAsia="zh-CN" w:bidi="ar"/>
              </w:rPr>
              <w:t>项 目</w:t>
            </w:r>
          </w:p>
        </w:tc>
        <w:tc>
          <w:tcPr>
            <w:tcW w:w="7555" w:type="dxa"/>
            <w:vAlign w:val="center"/>
          </w:tcPr>
          <w:p w14:paraId="3FA850B1">
            <w:pPr>
              <w:keepNext w:val="0"/>
              <w:keepLines w:val="0"/>
              <w:widowControl/>
              <w:suppressLineNumbers w:val="0"/>
              <w:jc w:val="center"/>
              <w:textAlignment w:val="center"/>
              <w:rPr>
                <w:rFonts w:hint="eastAsia" w:ascii="仿宋" w:hAnsi="仿宋" w:eastAsia="仿宋" w:cs="仿宋"/>
                <w:b/>
                <w:bCs/>
                <w:i w:val="0"/>
                <w:iCs w:val="0"/>
                <w:color w:val="000000"/>
                <w:kern w:val="2"/>
                <w:sz w:val="28"/>
                <w:szCs w:val="28"/>
                <w:u w:val="none"/>
                <w:lang w:val="en-US" w:eastAsia="zh-CN" w:bidi="ar-SA"/>
              </w:rPr>
            </w:pPr>
            <w:r>
              <w:rPr>
                <w:rFonts w:hint="eastAsia" w:ascii="仿宋" w:hAnsi="仿宋" w:eastAsia="仿宋" w:cs="仿宋"/>
                <w:b/>
                <w:bCs/>
                <w:i w:val="0"/>
                <w:iCs w:val="0"/>
                <w:color w:val="000000"/>
                <w:kern w:val="0"/>
                <w:sz w:val="28"/>
                <w:szCs w:val="28"/>
                <w:u w:val="none"/>
                <w:lang w:val="en-US" w:eastAsia="zh-CN" w:bidi="ar"/>
              </w:rPr>
              <w:t>主    要    内    容</w:t>
            </w:r>
          </w:p>
        </w:tc>
      </w:tr>
      <w:tr w14:paraId="4D8FE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6" w:type="dxa"/>
            <w:vAlign w:val="center"/>
          </w:tcPr>
          <w:p w14:paraId="5B1B4487">
            <w:pPr>
              <w:keepNext w:val="0"/>
              <w:keepLines w:val="0"/>
              <w:widowControl/>
              <w:suppressLineNumbers w:val="0"/>
              <w:jc w:val="center"/>
              <w:textAlignment w:val="center"/>
              <w:rPr>
                <w:rFonts w:hint="eastAsia"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0"/>
                <w:sz w:val="28"/>
                <w:szCs w:val="28"/>
                <w:u w:val="none"/>
                <w:lang w:val="en-US" w:eastAsia="zh-CN" w:bidi="ar"/>
              </w:rPr>
              <w:t>理化指标</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及验收标准</w:t>
            </w:r>
          </w:p>
        </w:tc>
        <w:tc>
          <w:tcPr>
            <w:tcW w:w="7555" w:type="dxa"/>
            <w:vAlign w:val="center"/>
          </w:tcPr>
          <w:p w14:paraId="77283980">
            <w:pPr>
              <w:keepNext w:val="0"/>
              <w:keepLines w:val="0"/>
              <w:widowControl/>
              <w:suppressLineNumbers w:val="0"/>
              <w:jc w:val="left"/>
              <w:textAlignment w:val="center"/>
              <w:rPr>
                <w:rFonts w:hint="eastAsia" w:ascii="仿宋" w:hAnsi="仿宋" w:eastAsia="仿宋" w:cs="仿宋"/>
                <w:i w:val="0"/>
                <w:iCs w:val="0"/>
                <w:color w:val="000000"/>
                <w:kern w:val="2"/>
                <w:sz w:val="32"/>
                <w:szCs w:val="32"/>
                <w:u w:val="none"/>
                <w:lang w:val="en-US" w:eastAsia="zh-CN" w:bidi="ar-SA"/>
              </w:rPr>
            </w:pPr>
            <w:r>
              <w:rPr>
                <w:rFonts w:hint="eastAsia" w:ascii="仿宋" w:hAnsi="仿宋" w:eastAsia="仿宋" w:cs="仿宋"/>
                <w:i w:val="0"/>
                <w:iCs w:val="0"/>
                <w:color w:val="000000"/>
                <w:kern w:val="0"/>
                <w:sz w:val="28"/>
                <w:szCs w:val="28"/>
                <w:u w:val="none"/>
                <w:lang w:val="en-US" w:eastAsia="zh-CN" w:bidi="ar"/>
              </w:rPr>
              <w:t>按《攀钢集团北海特种铁合金有限公司需求计划及采购质量标准》和相关技术质量要求执行，见附件1、6、7</w:t>
            </w:r>
            <w:bookmarkStart w:id="0" w:name="_GoBack"/>
            <w:bookmarkEnd w:id="0"/>
            <w:r>
              <w:rPr>
                <w:rFonts w:hint="eastAsia" w:ascii="仿宋" w:hAnsi="仿宋" w:eastAsia="仿宋" w:cs="仿宋"/>
                <w:i w:val="0"/>
                <w:iCs w:val="0"/>
                <w:color w:val="000000"/>
                <w:kern w:val="0"/>
                <w:sz w:val="28"/>
                <w:szCs w:val="28"/>
                <w:u w:val="none"/>
                <w:lang w:val="en-US" w:eastAsia="zh-CN" w:bidi="ar"/>
              </w:rPr>
              <w:t>。</w:t>
            </w:r>
          </w:p>
        </w:tc>
      </w:tr>
      <w:tr w14:paraId="022AE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6" w:type="dxa"/>
            <w:vAlign w:val="center"/>
          </w:tcPr>
          <w:p w14:paraId="54845F83">
            <w:pPr>
              <w:keepNext w:val="0"/>
              <w:keepLines w:val="0"/>
              <w:widowControl/>
              <w:suppressLineNumbers w:val="0"/>
              <w:jc w:val="center"/>
              <w:textAlignment w:val="center"/>
              <w:rPr>
                <w:rFonts w:hint="eastAsia"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0"/>
                <w:sz w:val="28"/>
                <w:szCs w:val="28"/>
                <w:u w:val="none"/>
                <w:lang w:val="en-US" w:eastAsia="zh-CN" w:bidi="ar"/>
              </w:rPr>
              <w:t>供货要求</w:t>
            </w:r>
          </w:p>
        </w:tc>
        <w:tc>
          <w:tcPr>
            <w:tcW w:w="7555" w:type="dxa"/>
            <w:vAlign w:val="center"/>
          </w:tcPr>
          <w:p w14:paraId="04AB847F">
            <w:pPr>
              <w:keepNext w:val="0"/>
              <w:keepLines w:val="0"/>
              <w:widowControl/>
              <w:suppressLineNumbers w:val="0"/>
              <w:jc w:val="left"/>
              <w:textAlignment w:val="center"/>
              <w:rPr>
                <w:rFonts w:hint="eastAsia"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0"/>
                <w:sz w:val="28"/>
                <w:szCs w:val="28"/>
                <w:u w:val="none"/>
                <w:lang w:val="en-US" w:eastAsia="zh-CN" w:bidi="ar"/>
              </w:rPr>
              <w:t>1.合同数量为预计数量，具体数量以买方实际需求通知为准，卖方需严格按买方通知的品种、数量、规格、包装、交货地点及运输方式发货（中标后，买方可能因生产计划、产品结构调整、库存等因素，实际发货时间、数量以买方通知为准）。2.交货的每批产品应附有质量证明书，内容包括：生产厂名称和厂址、产品名称和标准号、批量、批号、生产日期、保质期以及本标准规定的各项指标检验结果等。3、卖方发货后，需电话或传真方式通知买方发货时间、车号、品名数量等发货明细。4.若因买方原因需延长交货期的，卖方需提交申请，买方同意后再办理。</w:t>
            </w:r>
          </w:p>
        </w:tc>
      </w:tr>
      <w:tr w14:paraId="5A1F5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6" w:type="dxa"/>
            <w:vAlign w:val="center"/>
          </w:tcPr>
          <w:p w14:paraId="297C9104">
            <w:pPr>
              <w:keepNext w:val="0"/>
              <w:keepLines w:val="0"/>
              <w:widowControl/>
              <w:suppressLineNumbers w:val="0"/>
              <w:jc w:val="center"/>
              <w:textAlignment w:val="center"/>
              <w:rPr>
                <w:rFonts w:hint="eastAsia"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0"/>
                <w:sz w:val="28"/>
                <w:szCs w:val="28"/>
                <w:u w:val="none"/>
                <w:lang w:val="en-US" w:eastAsia="zh-CN" w:bidi="ar"/>
              </w:rPr>
              <w:t>运输方式、交（提）货地点、收货人及费用负担</w:t>
            </w:r>
          </w:p>
        </w:tc>
        <w:tc>
          <w:tcPr>
            <w:tcW w:w="7555" w:type="dxa"/>
            <w:vAlign w:val="center"/>
          </w:tcPr>
          <w:p w14:paraId="1D0EB34C">
            <w:pPr>
              <w:keepNext w:val="0"/>
              <w:keepLines w:val="0"/>
              <w:widowControl/>
              <w:suppressLineNumbers w:val="0"/>
              <w:jc w:val="left"/>
              <w:textAlignment w:val="center"/>
              <w:rPr>
                <w:rFonts w:hint="eastAsia" w:ascii="仿宋" w:hAnsi="仿宋" w:eastAsia="仿宋" w:cs="仿宋"/>
                <w:i w:val="0"/>
                <w:iCs w:val="0"/>
                <w:color w:val="000000"/>
                <w:kern w:val="2"/>
                <w:sz w:val="32"/>
                <w:szCs w:val="32"/>
                <w:u w:val="none"/>
                <w:lang w:val="en-US" w:eastAsia="zh-CN" w:bidi="ar-SA"/>
              </w:rPr>
            </w:pPr>
            <w:r>
              <w:rPr>
                <w:rStyle w:val="5"/>
                <w:sz w:val="28"/>
                <w:szCs w:val="28"/>
                <w:lang w:val="en-US" w:eastAsia="zh-CN" w:bidi="ar"/>
              </w:rPr>
              <w:t>运输方式及交货地点：以合理运输方式运至买方指定地点。收货人：</w:t>
            </w:r>
            <w:r>
              <w:rPr>
                <w:rStyle w:val="5"/>
                <w:rFonts w:hint="eastAsia"/>
                <w:sz w:val="28"/>
                <w:szCs w:val="28"/>
                <w:lang w:val="en-US" w:eastAsia="zh-CN" w:bidi="ar"/>
              </w:rPr>
              <w:t>攀钢集团北海特种铁合金有限公司</w:t>
            </w:r>
            <w:r>
              <w:rPr>
                <w:rStyle w:val="5"/>
                <w:sz w:val="28"/>
                <w:szCs w:val="28"/>
                <w:lang w:val="en-US" w:eastAsia="zh-CN" w:bidi="ar"/>
              </w:rPr>
              <w:t>。费用负担：运杂费及其他费用均由卖方承担。</w:t>
            </w:r>
          </w:p>
        </w:tc>
      </w:tr>
      <w:tr w14:paraId="77F51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6" w:type="dxa"/>
            <w:vAlign w:val="center"/>
          </w:tcPr>
          <w:p w14:paraId="50C70F1F">
            <w:pPr>
              <w:keepNext w:val="0"/>
              <w:keepLines w:val="0"/>
              <w:widowControl/>
              <w:suppressLineNumbers w:val="0"/>
              <w:jc w:val="center"/>
              <w:textAlignment w:val="center"/>
              <w:rPr>
                <w:rFonts w:hint="eastAsia"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0"/>
                <w:sz w:val="28"/>
                <w:szCs w:val="28"/>
                <w:u w:val="none"/>
                <w:lang w:val="en-US" w:eastAsia="zh-CN" w:bidi="ar"/>
              </w:rPr>
              <w:t>合理损耗及</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计算方法</w:t>
            </w:r>
          </w:p>
        </w:tc>
        <w:tc>
          <w:tcPr>
            <w:tcW w:w="7555" w:type="dxa"/>
            <w:vAlign w:val="center"/>
          </w:tcPr>
          <w:p w14:paraId="1E03B179">
            <w:pPr>
              <w:keepNext w:val="0"/>
              <w:keepLines w:val="0"/>
              <w:widowControl/>
              <w:suppressLineNumbers w:val="0"/>
              <w:jc w:val="left"/>
              <w:textAlignment w:val="center"/>
              <w:rPr>
                <w:rFonts w:hint="eastAsia"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0"/>
                <w:sz w:val="28"/>
                <w:szCs w:val="28"/>
                <w:u w:val="none"/>
                <w:lang w:val="en-US" w:eastAsia="zh-CN" w:bidi="ar"/>
              </w:rPr>
              <w:t>磅差或一切损耗均由卖方承担。</w:t>
            </w:r>
          </w:p>
        </w:tc>
      </w:tr>
      <w:tr w14:paraId="5D96F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6" w:type="dxa"/>
            <w:vAlign w:val="center"/>
          </w:tcPr>
          <w:p w14:paraId="1EDA580B">
            <w:pPr>
              <w:keepNext w:val="0"/>
              <w:keepLines w:val="0"/>
              <w:widowControl/>
              <w:suppressLineNumbers w:val="0"/>
              <w:jc w:val="center"/>
              <w:textAlignment w:val="center"/>
              <w:rPr>
                <w:rFonts w:hint="eastAsia"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0"/>
                <w:sz w:val="28"/>
                <w:szCs w:val="28"/>
                <w:u w:val="none"/>
                <w:lang w:val="en-US" w:eastAsia="zh-CN" w:bidi="ar"/>
              </w:rPr>
              <w:t>包装要求</w:t>
            </w:r>
          </w:p>
        </w:tc>
        <w:tc>
          <w:tcPr>
            <w:tcW w:w="7555" w:type="dxa"/>
            <w:vAlign w:val="center"/>
          </w:tcPr>
          <w:p w14:paraId="398BC999">
            <w:pPr>
              <w:keepNext w:val="0"/>
              <w:keepLines w:val="0"/>
              <w:widowControl/>
              <w:suppressLineNumbers w:val="0"/>
              <w:jc w:val="left"/>
              <w:textAlignment w:val="center"/>
              <w:rPr>
                <w:rFonts w:hint="eastAsia"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0"/>
                <w:sz w:val="28"/>
                <w:szCs w:val="28"/>
                <w:u w:val="none"/>
                <w:lang w:val="en-US" w:eastAsia="zh-CN" w:bidi="ar"/>
              </w:rPr>
              <w:t>1.包装物上必须清楚注明品名、规格、生产厂家、生产日期等标识。2.包装符合国家安全、环保相关规定。3.包装物不回收，由买方自行处理。</w:t>
            </w:r>
          </w:p>
        </w:tc>
      </w:tr>
      <w:tr w14:paraId="74B41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6" w:type="dxa"/>
            <w:vAlign w:val="center"/>
          </w:tcPr>
          <w:p w14:paraId="24861485">
            <w:pPr>
              <w:keepNext w:val="0"/>
              <w:keepLines w:val="0"/>
              <w:widowControl/>
              <w:suppressLineNumbers w:val="0"/>
              <w:jc w:val="center"/>
              <w:textAlignment w:val="center"/>
              <w:rPr>
                <w:rFonts w:hint="eastAsia"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0"/>
                <w:sz w:val="28"/>
                <w:szCs w:val="28"/>
                <w:u w:val="none"/>
                <w:lang w:val="en-US" w:eastAsia="zh-CN" w:bidi="ar"/>
              </w:rPr>
              <w:t>验收及异议处理</w:t>
            </w:r>
          </w:p>
        </w:tc>
        <w:tc>
          <w:tcPr>
            <w:tcW w:w="7555" w:type="dxa"/>
            <w:vAlign w:val="center"/>
          </w:tcPr>
          <w:p w14:paraId="52B630C8">
            <w:pPr>
              <w:keepNext w:val="0"/>
              <w:keepLines w:val="0"/>
              <w:widowControl/>
              <w:suppressLineNumbers w:val="0"/>
              <w:jc w:val="left"/>
              <w:textAlignment w:val="center"/>
              <w:rPr>
                <w:rFonts w:hint="eastAsia"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0"/>
                <w:sz w:val="28"/>
                <w:szCs w:val="28"/>
                <w:u w:val="none"/>
                <w:lang w:val="en-US" w:eastAsia="zh-CN" w:bidi="ar"/>
              </w:rPr>
              <w:t>（一）计质量验收：1.数量验收：以买方计量为准。2.质量验收：以买方验收为准。（二）质量异议处理 ：1.对合同执行过程中出现的质计量异议经双方确认属于卖方的，按照买方质量异议管理办法处理。卖方应在接到买方通知后5天内到交货地点或配合买方处理质量异议，若卖方在5天内未到或不配合视为同意买方认定结果。2.卖方若对买方检验结果有异议,卖方有权提出复验要求,但应在接到通知后5个工作日内向买方书面提出，买方复验结果为最终判定依据。若对买方复验结果仍有异议的，可双方共同取样送至双方认可的第三方进行仲裁，买卖双方签订仲裁协议，对仲裁有关事项进行约定，仲裁结果作为买卖双方结算依据。</w:t>
            </w:r>
          </w:p>
        </w:tc>
      </w:tr>
      <w:tr w14:paraId="3D72E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6" w:type="dxa"/>
            <w:vAlign w:val="center"/>
          </w:tcPr>
          <w:p w14:paraId="3CFE1C14">
            <w:pPr>
              <w:keepNext w:val="0"/>
              <w:keepLines w:val="0"/>
              <w:widowControl/>
              <w:suppressLineNumbers w:val="0"/>
              <w:jc w:val="center"/>
              <w:textAlignment w:val="center"/>
              <w:rPr>
                <w:rFonts w:hint="eastAsia"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0"/>
                <w:sz w:val="28"/>
                <w:szCs w:val="28"/>
                <w:u w:val="none"/>
                <w:lang w:val="en-US" w:eastAsia="zh-CN" w:bidi="ar"/>
              </w:rPr>
              <w:t>结算与支付</w:t>
            </w:r>
          </w:p>
        </w:tc>
        <w:tc>
          <w:tcPr>
            <w:tcW w:w="7555" w:type="dxa"/>
            <w:vAlign w:val="center"/>
          </w:tcPr>
          <w:p w14:paraId="18028EF0">
            <w:pPr>
              <w:keepNext w:val="0"/>
              <w:keepLines w:val="0"/>
              <w:widowControl/>
              <w:suppressLineNumbers w:val="0"/>
              <w:jc w:val="left"/>
              <w:textAlignment w:val="center"/>
              <w:rPr>
                <w:rFonts w:hint="eastAsia"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0"/>
                <w:sz w:val="28"/>
                <w:szCs w:val="28"/>
                <w:u w:val="none"/>
                <w:lang w:val="en-US" w:eastAsia="zh-CN" w:bidi="ar"/>
              </w:rPr>
              <w:t>1.以买方的入库数量或功能验收作为结算依据，由买方通知卖方按照买方出具的结算单要求开具增值税发票，一票制结算。2、作扣量、降价处理的，均在结算时扣除；做考核处理的，从应付款中扣除。3.支付方式：承兑汇票；4.付款条件：先货后款，按应付账款以一定比例滚动支付。</w:t>
            </w:r>
          </w:p>
        </w:tc>
      </w:tr>
      <w:tr w14:paraId="4D625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6" w:type="dxa"/>
            <w:vAlign w:val="center"/>
          </w:tcPr>
          <w:p w14:paraId="732EF6E1">
            <w:pPr>
              <w:keepNext w:val="0"/>
              <w:keepLines w:val="0"/>
              <w:widowControl/>
              <w:suppressLineNumbers w:val="0"/>
              <w:jc w:val="center"/>
              <w:textAlignment w:val="center"/>
              <w:rPr>
                <w:rFonts w:hint="eastAsia"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0"/>
                <w:sz w:val="28"/>
                <w:szCs w:val="28"/>
                <w:u w:val="none"/>
                <w:lang w:val="en-US" w:eastAsia="zh-CN" w:bidi="ar"/>
              </w:rPr>
              <w:t>违约责任</w:t>
            </w:r>
          </w:p>
        </w:tc>
        <w:tc>
          <w:tcPr>
            <w:tcW w:w="7555" w:type="dxa"/>
            <w:vAlign w:val="center"/>
          </w:tcPr>
          <w:p w14:paraId="01A7E155">
            <w:pPr>
              <w:keepNext w:val="0"/>
              <w:keepLines w:val="0"/>
              <w:widowControl/>
              <w:suppressLineNumbers w:val="0"/>
              <w:jc w:val="left"/>
              <w:textAlignment w:val="center"/>
              <w:rPr>
                <w:rFonts w:hint="eastAsia"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0"/>
                <w:sz w:val="28"/>
                <w:szCs w:val="28"/>
                <w:u w:val="none"/>
                <w:lang w:val="en-US" w:eastAsia="zh-CN" w:bidi="ar"/>
              </w:rPr>
              <w:t>1.卖方未履行或擅自更改本合同的内容，应承担违约责任，并按《民法典》及其它法律法规办理。2.产品在使用过程中因卖方质量问题给买方造成经济损失的由卖方负责赔偿。3.当因卖方延迟交货、未交货及交货达不到合同条款的约定、交货产品出现质量异议等违约问题时，买方可通知卖方就违约问题进行书面确认，卖方在买方规定的时间内未予确认的，视为同意买方意见。4.因买方原因不能履行合同或不能完全履行合同，买方全额退还卖方合同履约保证金。5.因卖方原因，合同执行率不满足100%±10%：若单笔合同执行率小于90%时，按照不足部分所占权重，扣除相应额度的合同违约金“合同违约金扣除金额=（合同量-实际供货量）/合同量*合同含税总金额*5%”，若违约从收取的合同履约保证金中扣除。 6.因卖方原因导致延期交货（不可抗力因素和买方要求原因除外），卖方支付违约合同含税金额5%的违约金（取整）。7.对合同履行过程中涉及的异议索赔包括但不限于对履约保证金和质量保证金的扣罚；因供应商原因给冶材公司造成的损失超过保证金数额的，供应商须及时对超过部分予以赔偿，对拒不赔偿的，除按供应商管理相关规定进行处罚外，诉诸法律。</w:t>
            </w:r>
          </w:p>
        </w:tc>
      </w:tr>
      <w:tr w14:paraId="68788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6" w:type="dxa"/>
            <w:vAlign w:val="center"/>
          </w:tcPr>
          <w:p w14:paraId="213DF4A3">
            <w:pPr>
              <w:keepNext w:val="0"/>
              <w:keepLines w:val="0"/>
              <w:widowControl/>
              <w:suppressLineNumbers w:val="0"/>
              <w:jc w:val="center"/>
              <w:textAlignment w:val="center"/>
              <w:rPr>
                <w:rFonts w:hint="eastAsia"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0"/>
                <w:sz w:val="28"/>
                <w:szCs w:val="28"/>
                <w:u w:val="none"/>
                <w:lang w:val="en-US" w:eastAsia="zh-CN" w:bidi="ar"/>
              </w:rPr>
              <w:t>解决争议方法</w:t>
            </w:r>
          </w:p>
        </w:tc>
        <w:tc>
          <w:tcPr>
            <w:tcW w:w="7555" w:type="dxa"/>
            <w:vAlign w:val="center"/>
          </w:tcPr>
          <w:p w14:paraId="2B8B47A1">
            <w:pPr>
              <w:keepNext w:val="0"/>
              <w:keepLines w:val="0"/>
              <w:widowControl/>
              <w:suppressLineNumbers w:val="0"/>
              <w:jc w:val="left"/>
              <w:textAlignment w:val="center"/>
              <w:rPr>
                <w:rFonts w:hint="eastAsia"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0"/>
                <w:sz w:val="28"/>
                <w:szCs w:val="28"/>
                <w:u w:val="none"/>
                <w:lang w:val="en-US" w:eastAsia="zh-CN" w:bidi="ar"/>
              </w:rPr>
              <w:t>双方协商解决争议，协商不成的，向合同签订地所在人民法院提起诉讼。</w:t>
            </w:r>
          </w:p>
        </w:tc>
      </w:tr>
      <w:tr w14:paraId="6A490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6" w:type="dxa"/>
            <w:vAlign w:val="center"/>
          </w:tcPr>
          <w:p w14:paraId="09488404">
            <w:pPr>
              <w:keepNext w:val="0"/>
              <w:keepLines w:val="0"/>
              <w:widowControl/>
              <w:suppressLineNumbers w:val="0"/>
              <w:jc w:val="center"/>
              <w:textAlignment w:val="center"/>
              <w:rPr>
                <w:rFonts w:hint="eastAsia"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0"/>
                <w:sz w:val="28"/>
                <w:szCs w:val="28"/>
                <w:u w:val="none"/>
                <w:lang w:val="en-US" w:eastAsia="zh-CN" w:bidi="ar"/>
              </w:rPr>
              <w:t>其他约定</w:t>
            </w:r>
          </w:p>
        </w:tc>
        <w:tc>
          <w:tcPr>
            <w:tcW w:w="7555" w:type="dxa"/>
            <w:vAlign w:val="center"/>
          </w:tcPr>
          <w:p w14:paraId="5261CC12">
            <w:pPr>
              <w:keepNext w:val="0"/>
              <w:keepLines w:val="0"/>
              <w:widowControl/>
              <w:suppressLineNumbers w:val="0"/>
              <w:jc w:val="left"/>
              <w:textAlignment w:val="center"/>
              <w:rPr>
                <w:rFonts w:hint="eastAsia"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0"/>
                <w:sz w:val="28"/>
                <w:szCs w:val="28"/>
                <w:u w:val="none"/>
                <w:lang w:val="en-US" w:eastAsia="zh-CN" w:bidi="ar"/>
              </w:rPr>
              <w:t>1、卖方需按照买方相关规定向买方缴纳保证金，前期已缴纳过保证金的，根据合同金额，不足需补足保证金。2.卖方在价格确定后即进入履约流程。3.卖方所供产品在包装、运输、装卸、现场服务等各环节必须符合国家安全环保相关法律法规规定及攀钢安全环保规章制度。因自身原因或意外导致安全环保事故发生，由卖方自行负责。4.如卖方不能按交货期交货，买方有权要求赔偿或终止合同。5.卖方所供产品若出现知识产权侵权行为，其后果和经济责任全部由卖方承担。6.公路运输须满足交通运输部《超限运输车辆行驶公路管理规定》（2016年第62号令）和GB1589-2016规定。</w:t>
            </w:r>
          </w:p>
        </w:tc>
      </w:tr>
    </w:tbl>
    <w:p w14:paraId="21DD085A">
      <w:pPr>
        <w:rPr>
          <w:rFonts w:hint="eastAsia"/>
        </w:rPr>
      </w:pPr>
    </w:p>
    <w:sectPr>
      <w:pgSz w:w="11906" w:h="16838"/>
      <w:pgMar w:top="2098" w:right="1474" w:bottom="204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zNzE0MzY4ZTY5NjQ5ODdlMTkxNDc3MDM0Yjc1OTAifQ=="/>
  </w:docVars>
  <w:rsids>
    <w:rsidRoot w:val="3F667FFD"/>
    <w:rsid w:val="01F46141"/>
    <w:rsid w:val="042A3D72"/>
    <w:rsid w:val="0E702FCF"/>
    <w:rsid w:val="240B4AE5"/>
    <w:rsid w:val="31335131"/>
    <w:rsid w:val="3F667FFD"/>
    <w:rsid w:val="46856DFA"/>
    <w:rsid w:val="46C33260"/>
    <w:rsid w:val="4DA62EF4"/>
    <w:rsid w:val="4F0D1A3E"/>
    <w:rsid w:val="55F37752"/>
    <w:rsid w:val="59DB084C"/>
    <w:rsid w:val="5C9655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styleId="3">
    <w:name w:val="Table Grid"/>
    <w:basedOn w:val="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
    <w:name w:val="font11"/>
    <w:basedOn w:val="4"/>
    <w:autoRedefine/>
    <w:qFormat/>
    <w:uiPriority w:val="0"/>
    <w:rPr>
      <w:rFonts w:hint="eastAsia" w:ascii="仿宋" w:hAnsi="仿宋" w:eastAsia="仿宋" w:cs="仿宋"/>
      <w:color w:val="000000"/>
      <w:sz w:val="20"/>
      <w:szCs w:val="20"/>
      <w:u w:val="none"/>
    </w:rPr>
  </w:style>
  <w:style w:type="character" w:customStyle="1" w:styleId="6">
    <w:name w:val="font21"/>
    <w:basedOn w:val="4"/>
    <w:autoRedefine/>
    <w:qFormat/>
    <w:uiPriority w:val="0"/>
    <w:rPr>
      <w:rFonts w:ascii="仿宋_GB2312" w:eastAsia="仿宋_GB2312" w:cs="仿宋_GB2312"/>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1688</Words>
  <Characters>1737</Characters>
  <Lines>0</Lines>
  <Paragraphs>0</Paragraphs>
  <TotalTime>25</TotalTime>
  <ScaleCrop>false</ScaleCrop>
  <LinksUpToDate>false</LinksUpToDate>
  <CharactersWithSpaces>1752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2023-10-26T10:01:00Z</dcterms:created>
  <dc:creator>永远的流星剑</dc:creator>
  <cp:lastModifiedBy>admin</cp:lastModifiedBy>
  <dcterms:modified xsi:type="dcterms:W3CDTF">2025-10-17T08:26:31Z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DC7E50A0C1E14049AB6A1FE25B404863_13</vt:lpwstr>
  </property>
  <property fmtid="{D5CDD505-2E9C-101B-9397-08002B2CF9AE}" pid="4" name="KSOTemplateDocerSaveRecord">
    <vt:lpwstr>eyJoZGlkIjoiMmEzNzE0MzY4ZTY5NjQ5ODdlMTkxNDc3MDM0Yjc1OTAiLCJ1c2VySWQiOiI5NjE0Njg0NDcifQ==</vt:lpwstr>
  </property>
</Properties>
</file>