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jc w:val="center"/>
        <w:textAlignment w:val="auto"/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菱镁石粉</w:t>
      </w: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lang w:eastAsia="zh-CN"/>
        </w:rPr>
        <w:t>质量验收准则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　验收流程</w:t>
      </w:r>
    </w:p>
    <w:p>
      <w:pPr>
        <w:pStyle w:val="11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420" w:firstLineChars="200"/>
        <w:textAlignment w:val="auto"/>
        <w:rPr>
          <w:rFonts w:hint="eastAsia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入库：</w:t>
      </w:r>
      <w:r>
        <w:rPr>
          <w:rFonts w:hint="eastAsia" w:cs="宋体"/>
          <w:color w:val="auto"/>
          <w:highlight w:val="none"/>
          <w:lang w:val="zh-CN"/>
        </w:rPr>
        <w:t>物料→灵山料场→烧结</w:t>
      </w:r>
      <w:r>
        <w:rPr>
          <w:rFonts w:hint="eastAsia" w:cs="宋体"/>
          <w:color w:val="auto"/>
          <w:highlight w:val="none"/>
          <w:lang w:val="en-US" w:eastAsia="zh-CN"/>
        </w:rPr>
        <w:t>厂烧结产线</w:t>
      </w:r>
    </w:p>
    <w:p>
      <w:pPr>
        <w:pStyle w:val="11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firstLine="2310" w:firstLineChars="1100"/>
        <w:textAlignment w:val="auto"/>
        <w:rPr>
          <w:rFonts w:hint="eastAsia"/>
          <w:color w:val="auto"/>
          <w:highlight w:val="none"/>
          <w:lang w:val="zh-CN"/>
        </w:rPr>
      </w:pPr>
      <w:r>
        <w:rPr>
          <w:rFonts w:hint="eastAsia" w:hAnsi="宋体"/>
          <w:color w:val="auto"/>
          <w:highlight w:val="none"/>
          <w:lang w:val="zh-CN"/>
        </w:rPr>
        <w:t>└</w:t>
      </w:r>
      <w:r>
        <w:rPr>
          <w:rFonts w:hint="eastAsia"/>
          <w:color w:val="auto"/>
          <w:highlight w:val="none"/>
          <w:lang w:val="zh-CN"/>
        </w:rPr>
        <w:t>→质计中心取</w:t>
      </w:r>
      <w:r>
        <w:rPr>
          <w:rFonts w:hint="eastAsia"/>
          <w:color w:val="auto"/>
          <w:highlight w:val="none"/>
          <w:lang w:val="en-US" w:eastAsia="zh-CN"/>
        </w:rPr>
        <w:t>制验</w:t>
      </w:r>
    </w:p>
    <w:p>
      <w:pPr>
        <w:pStyle w:val="11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420" w:firstLineChars="200"/>
        <w:textAlignment w:val="auto"/>
        <w:rPr>
          <w:rFonts w:hint="eastAsia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  <w:lang w:val="zh-CN"/>
        </w:rPr>
        <w:t>②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直付：</w:t>
      </w:r>
      <w:r>
        <w:rPr>
          <w:rFonts w:hint="eastAsia" w:cs="宋体"/>
          <w:color w:val="auto"/>
          <w:highlight w:val="none"/>
          <w:lang w:val="zh-CN"/>
        </w:rPr>
        <w:t>物料→烧结</w:t>
      </w:r>
      <w:r>
        <w:rPr>
          <w:rFonts w:hint="eastAsia" w:cs="宋体"/>
          <w:color w:val="auto"/>
          <w:highlight w:val="none"/>
          <w:lang w:val="en-US" w:eastAsia="zh-CN"/>
        </w:rPr>
        <w:t>厂烧结产线</w:t>
      </w:r>
    </w:p>
    <w:p>
      <w:pPr>
        <w:pStyle w:val="11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firstLine="2310" w:firstLineChars="1100"/>
        <w:textAlignment w:val="auto"/>
        <w:rPr>
          <w:rFonts w:hint="eastAsia"/>
          <w:color w:val="auto"/>
          <w:highlight w:val="none"/>
          <w:lang w:val="zh-CN"/>
        </w:rPr>
      </w:pPr>
      <w:r>
        <w:rPr>
          <w:rFonts w:hint="eastAsia" w:hAnsi="宋体"/>
          <w:color w:val="auto"/>
          <w:highlight w:val="none"/>
          <w:lang w:val="zh-CN"/>
        </w:rPr>
        <w:t>└</w:t>
      </w:r>
      <w:r>
        <w:rPr>
          <w:rFonts w:hint="eastAsia"/>
          <w:color w:val="auto"/>
          <w:highlight w:val="none"/>
          <w:lang w:val="zh-CN"/>
        </w:rPr>
        <w:t>→质计中心取</w:t>
      </w:r>
      <w:r>
        <w:rPr>
          <w:rFonts w:hint="eastAsia"/>
          <w:color w:val="auto"/>
          <w:highlight w:val="none"/>
          <w:lang w:val="en-US" w:eastAsia="zh-CN"/>
        </w:rPr>
        <w:t>制验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color w:val="auto"/>
          <w:szCs w:val="22"/>
          <w:highlight w:val="none"/>
        </w:rPr>
      </w:pPr>
      <w:r>
        <w:rPr>
          <w:rFonts w:hint="eastAsia"/>
          <w:color w:val="auto"/>
          <w:szCs w:val="22"/>
          <w:highlight w:val="none"/>
        </w:rPr>
        <w:t>2　</w:t>
      </w:r>
      <w:r>
        <w:rPr>
          <w:rFonts w:hint="eastAsia"/>
          <w:color w:val="auto"/>
          <w:szCs w:val="22"/>
          <w:highlight w:val="none"/>
          <w:lang w:val="en-US" w:eastAsia="zh-CN"/>
        </w:rPr>
        <w:t>烧结</w:t>
      </w:r>
      <w:r>
        <w:rPr>
          <w:rFonts w:hint="eastAsia"/>
          <w:color w:val="auto"/>
          <w:szCs w:val="22"/>
          <w:highlight w:val="none"/>
          <w:lang w:eastAsia="zh-CN"/>
        </w:rPr>
        <w:t>厂</w:t>
      </w:r>
    </w:p>
    <w:p>
      <w:pPr>
        <w:pStyle w:val="11"/>
        <w:shd w:val="clear" w:color="auto" w:fill="auto"/>
        <w:ind w:firstLine="0" w:firstLineChars="0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2.1　包装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散装。</w:t>
      </w:r>
    </w:p>
    <w:p>
      <w:pPr>
        <w:pStyle w:val="11"/>
        <w:shd w:val="clear" w:color="auto" w:fill="auto"/>
        <w:ind w:firstLine="0" w:firstLineChars="0"/>
        <w:rPr>
          <w:rFonts w:hint="eastAsia" w:ascii="宋体" w:hAnsi="宋体" w:eastAsia="宋体" w:cs="宋体"/>
          <w:color w:val="auto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2.2　标志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按车标明镁石粉名称。</w:t>
      </w:r>
    </w:p>
    <w:p>
      <w:pPr>
        <w:pStyle w:val="11"/>
        <w:shd w:val="clear" w:color="auto" w:fill="auto"/>
        <w:ind w:firstLine="0" w:firstLine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2.3　质量证明书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val="zh-CN"/>
        </w:rPr>
        <w:t>每批产品必须附证明该批质量符合标准规定的质量证明书。填写证明书字迹应清楚，证明书上应注明：供方名称；需方名称；产品名称；批号（或车船号）；</w:t>
      </w:r>
      <w:r>
        <w:rPr>
          <w:rFonts w:hint="eastAsia" w:ascii="宋体" w:hAnsi="宋体" w:eastAsia="宋体" w:cs="宋体"/>
          <w:color w:val="auto"/>
          <w:highlight w:val="none"/>
        </w:rPr>
        <w:t>理化指标检验结果；发货日期；执行的产品标准编号。</w:t>
      </w:r>
    </w:p>
    <w:p>
      <w:pPr>
        <w:pStyle w:val="9"/>
        <w:numPr>
          <w:ilvl w:val="0"/>
          <w:numId w:val="0"/>
        </w:numPr>
        <w:shd w:val="clear" w:color="auto" w:fil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</w:t>
      </w:r>
      <w:r>
        <w:rPr>
          <w:rFonts w:hint="eastAsia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</w:rPr>
        <w:t>　外观质量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/>
          <w:color w:val="auto"/>
          <w:highlight w:val="none"/>
          <w:lang w:val="zh-CN"/>
        </w:rPr>
        <w:t>不应混有泥土及其他杂质（如山皮、杂石等）。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color w:val="auto"/>
          <w:szCs w:val="22"/>
          <w:highlight w:val="none"/>
          <w:lang w:eastAsia="zh-CN"/>
        </w:rPr>
      </w:pPr>
      <w:r>
        <w:rPr>
          <w:rFonts w:hint="eastAsia"/>
          <w:color w:val="auto"/>
          <w:szCs w:val="22"/>
          <w:highlight w:val="none"/>
          <w:lang w:val="en-US" w:eastAsia="zh-CN"/>
        </w:rPr>
        <w:t>3</w:t>
      </w:r>
      <w:r>
        <w:rPr>
          <w:rFonts w:hint="eastAsia"/>
          <w:color w:val="auto"/>
          <w:szCs w:val="22"/>
          <w:highlight w:val="none"/>
        </w:rPr>
        <w:t>　质计中</w:t>
      </w:r>
      <w:r>
        <w:rPr>
          <w:rFonts w:hint="eastAsia"/>
          <w:color w:val="auto"/>
          <w:szCs w:val="22"/>
          <w:highlight w:val="none"/>
          <w:lang w:eastAsia="zh-CN"/>
        </w:rPr>
        <w:t>心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取样地点：</w:t>
      </w:r>
    </w:p>
    <w:p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ind w:firstLine="43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3"/>
          <w:sz w:val="21"/>
          <w:szCs w:val="21"/>
          <w:highlight w:val="none"/>
          <w:shd w:val="clear" w:color="auto" w:fill="FFFFFF"/>
        </w:rPr>
        <w:t>直付：各烧结车间。一烧镁石卸料槽；二烧精矿槽，三烧熔15皮带或卸料槽；四烧卸料槽。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灵山料场：熔剂库。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取样频次：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直付：各烧结区域批批取样，每天一批；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灵山料场：每天一批。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灵山料场回装烧结时不取样。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lef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检验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项目：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MgO、H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bscript"/>
          <w:lang w:val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O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标准：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MgO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（一级品）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43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%、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MgO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（二级品）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0%；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H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bscript"/>
          <w:lang w:val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O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3%</w:t>
      </w:r>
    </w:p>
    <w:p>
      <w:pPr>
        <w:pStyle w:val="9"/>
        <w:numPr>
          <w:ilvl w:val="0"/>
          <w:numId w:val="0"/>
        </w:numPr>
        <w:shd w:val="clear" w:color="auto" w:fil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粒度：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小于3 mm的比例≥85%，最大粒度不应大于5 mm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zh-CN"/>
        </w:rPr>
        <w:t>每7个进货批次抽检不少于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zh-CN"/>
        </w:rPr>
        <w:t>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。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color w:val="auto"/>
          <w:szCs w:val="22"/>
          <w:highlight w:val="none"/>
          <w:lang w:eastAsia="zh-CN"/>
        </w:rPr>
      </w:pPr>
      <w:r>
        <w:rPr>
          <w:rFonts w:hint="eastAsia"/>
          <w:color w:val="auto"/>
          <w:szCs w:val="22"/>
          <w:highlight w:val="none"/>
          <w:lang w:val="en-US" w:eastAsia="zh-CN"/>
        </w:rPr>
        <w:t>4</w:t>
      </w:r>
      <w:r>
        <w:rPr>
          <w:rFonts w:hint="eastAsia"/>
          <w:color w:val="auto"/>
          <w:szCs w:val="22"/>
          <w:highlight w:val="none"/>
        </w:rPr>
        <w:t>　</w:t>
      </w:r>
      <w:r>
        <w:rPr>
          <w:rFonts w:hint="eastAsia"/>
          <w:color w:val="auto"/>
          <w:szCs w:val="22"/>
          <w:highlight w:val="none"/>
          <w:lang w:eastAsia="zh-CN"/>
        </w:rPr>
        <w:t>让步接收</w:t>
      </w:r>
    </w:p>
    <w:p>
      <w:pPr>
        <w:shd w:val="clear" w:color="auto" w:fill="auto"/>
        <w:spacing w:line="0" w:lineRule="atLeast"/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zh-CN"/>
        </w:rPr>
        <w:t>　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扣款方法：扣除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H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bscript"/>
          <w:lang w:val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O后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干基结算。</w:t>
      </w:r>
    </w:p>
    <w:p>
      <w:pPr>
        <w:pStyle w:val="14"/>
        <w:numPr>
          <w:ilvl w:val="0"/>
          <w:numId w:val="0"/>
        </w:numPr>
        <w:shd w:val="clear" w:color="auto" w:fil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zh-CN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40%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MgO＜43%，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15%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38%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MgO＜40%，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30%；36%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MgO＜38%，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50%；MgO＜36%，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扣款99%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ar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干基基础上扣款）</w:t>
      </w:r>
    </w:p>
    <w:p>
      <w:pPr>
        <w:pStyle w:val="14"/>
        <w:numPr>
          <w:ilvl w:val="0"/>
          <w:numId w:val="0"/>
        </w:numPr>
        <w:shd w:val="clear" w:color="auto" w:fill="auto"/>
        <w:rPr>
          <w:rFonts w:hint="eastAsia" w:ascii="宋体" w:hAnsi="宋体" w:cs="宋体"/>
          <w:color w:val="auto"/>
          <w:highlight w:val="none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4.</w:t>
      </w:r>
      <w:r>
        <w:rPr>
          <w:rFonts w:hint="eastAsia" w:hAnsi="宋体" w:cs="宋体"/>
          <w:b w:val="0"/>
          <w:bCs w:val="0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zh-CN"/>
        </w:rPr>
        <w:t>　</w:t>
      </w:r>
      <w:r>
        <w:rPr>
          <w:rFonts w:hint="eastAsia" w:ascii="宋体" w:hAnsi="宋体" w:cs="宋体"/>
          <w:color w:val="auto"/>
          <w:highlight w:val="none"/>
          <w:lang w:bidi="ar"/>
        </w:rPr>
        <w:t>80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0～3mm的比例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＜85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15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；</w:t>
      </w:r>
      <w:r>
        <w:rPr>
          <w:rFonts w:hint="eastAsia" w:ascii="宋体" w:hAnsi="宋体" w:cs="宋体"/>
          <w:color w:val="auto"/>
          <w:highlight w:val="none"/>
          <w:lang w:bidi="ar"/>
        </w:rPr>
        <w:t>75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0～3mm的比例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＜80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cs="宋体"/>
          <w:color w:val="auto"/>
          <w:highlight w:val="none"/>
          <w:lang w:bidi="ar"/>
        </w:rPr>
        <w:t>30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；</w:t>
      </w:r>
      <w:r>
        <w:rPr>
          <w:rFonts w:hint="eastAsia" w:ascii="宋体" w:hAnsi="宋体" w:cs="宋体"/>
          <w:color w:val="auto"/>
          <w:highlight w:val="none"/>
          <w:lang w:bidi="ar"/>
        </w:rPr>
        <w:t>70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0～3mm的比例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＜75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cs="宋体"/>
          <w:color w:val="auto"/>
          <w:highlight w:val="none"/>
          <w:lang w:bidi="ar"/>
        </w:rPr>
        <w:t>40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；67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ar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0～3mm的比例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＜70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扣款</w:t>
      </w:r>
      <w:r>
        <w:rPr>
          <w:rFonts w:hint="eastAsia" w:ascii="宋体" w:hAnsi="宋体" w:cs="宋体"/>
          <w:color w:val="auto"/>
          <w:szCs w:val="21"/>
          <w:highlight w:val="none"/>
          <w:lang w:bidi="ar"/>
        </w:rPr>
        <w:t>50</w:t>
      </w:r>
      <w:r>
        <w:rPr>
          <w:rFonts w:hint="eastAsia" w:ascii="宋体" w:hAnsi="宋体" w:cs="宋体"/>
          <w:color w:val="auto"/>
          <w:sz w:val="18"/>
          <w:szCs w:val="18"/>
          <w:highlight w:val="none"/>
          <w:lang w:bidi="ar"/>
        </w:rPr>
        <w:t>%</w:t>
      </w:r>
      <w:r>
        <w:rPr>
          <w:rFonts w:hint="eastAsia" w:hAnsi="宋体" w:cs="宋体"/>
          <w:color w:val="auto"/>
          <w:sz w:val="18"/>
          <w:szCs w:val="18"/>
          <w:highlight w:val="none"/>
          <w:lang w:eastAsia="zh-CN" w:bidi="ar"/>
        </w:rPr>
        <w:t>；</w:t>
      </w:r>
      <w:r>
        <w:rPr>
          <w:rFonts w:hint="eastAsia" w:hAnsi="宋体" w:cs="宋体"/>
          <w:color w:val="auto"/>
          <w:highlight w:val="none"/>
          <w:lang w:val="en-US" w:eastAsia="zh-CN" w:bidi="ar"/>
        </w:rPr>
        <w:t>粒</w:t>
      </w:r>
      <w:r>
        <w:rPr>
          <w:rFonts w:hint="eastAsia" w:ascii="宋体" w:hAnsi="宋体" w:cs="宋体"/>
          <w:color w:val="auto"/>
          <w:highlight w:val="none"/>
          <w:lang w:bidi="ar"/>
        </w:rPr>
        <w:t>度＜67%，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扣款99%</w:t>
      </w:r>
      <w:r>
        <w:rPr>
          <w:rFonts w:hint="eastAsia" w:ascii="宋体" w:hAnsi="宋体" w:cs="宋体"/>
          <w:color w:val="auto"/>
          <w:highlight w:val="none"/>
          <w:lang w:bidi="ar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zh-CN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val="en-US" w:eastAsia="zh-CN"/>
        </w:rPr>
        <w:t>干基基础上扣款）</w:t>
      </w:r>
    </w:p>
    <w:p>
      <w:pPr>
        <w:pStyle w:val="11"/>
        <w:shd w:val="clear" w:color="auto" w:fill="auto"/>
        <w:ind w:left="0" w:leftChars="0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4.4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</w:t>
      </w:r>
      <w:r>
        <w:rPr>
          <w:rFonts w:hint="eastAsia" w:ascii="宋体" w:hAnsi="宋体" w:cs="宋体"/>
          <w:color w:val="auto"/>
          <w:szCs w:val="21"/>
          <w:highlight w:val="none"/>
        </w:rPr>
        <w:t>两项以上（含两项）不合格时，按项累计扣款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24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1"/>
          <w:szCs w:val="21"/>
          <w:highlight w:val="none"/>
          <w:lang w:val="en-US" w:eastAsia="zh-CN"/>
        </w:rPr>
        <w:t>4.5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　当PSCS每批次结算时按计价公式吨累计扣款金额≥合同单价时，批次中的每吨均按1元进行结算。</w:t>
      </w:r>
    </w:p>
    <w:p>
      <w:pPr>
        <w:pStyle w:val="2"/>
        <w:shd w:val="clear" w:color="auto" w:fill="auto"/>
        <w:rPr>
          <w:rFonts w:hint="eastAsia"/>
          <w:color w:val="auto"/>
          <w:highlight w:val="none"/>
        </w:rPr>
      </w:pPr>
    </w:p>
    <w:p>
      <w:pPr>
        <w:pStyle w:val="2"/>
        <w:shd w:val="clear" w:color="auto" w:fill="auto"/>
        <w:rPr>
          <w:rFonts w:hint="eastAsia"/>
          <w:color w:val="auto"/>
          <w:highlight w:val="none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34FC5"/>
    <w:rsid w:val="00FF4B65"/>
    <w:rsid w:val="021D6511"/>
    <w:rsid w:val="02796299"/>
    <w:rsid w:val="02FF1CB4"/>
    <w:rsid w:val="04BD205C"/>
    <w:rsid w:val="071D7CE2"/>
    <w:rsid w:val="0D5458D5"/>
    <w:rsid w:val="0E834FC5"/>
    <w:rsid w:val="10D96208"/>
    <w:rsid w:val="111826D5"/>
    <w:rsid w:val="13D906D5"/>
    <w:rsid w:val="1E125BFC"/>
    <w:rsid w:val="222D1B27"/>
    <w:rsid w:val="254542B3"/>
    <w:rsid w:val="2951274C"/>
    <w:rsid w:val="2F717719"/>
    <w:rsid w:val="34C879BF"/>
    <w:rsid w:val="389A7DBC"/>
    <w:rsid w:val="39CB0011"/>
    <w:rsid w:val="47AA1668"/>
    <w:rsid w:val="4CF75D03"/>
    <w:rsid w:val="567B3F98"/>
    <w:rsid w:val="5DA11A28"/>
    <w:rsid w:val="632241D3"/>
    <w:rsid w:val="69BC409C"/>
    <w:rsid w:val="6F1A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9">
    <w:name w:val="一级无"/>
    <w:basedOn w:val="10"/>
    <w:qFormat/>
    <w:uiPriority w:val="0"/>
    <w:pPr>
      <w:spacing w:beforeLines="0"/>
    </w:pPr>
    <w:rPr>
      <w:rFonts w:ascii="宋体" w:eastAsia="宋体"/>
    </w:rPr>
  </w:style>
  <w:style w:type="paragraph" w:customStyle="1" w:styleId="10">
    <w:name w:val="一级条标题"/>
    <w:next w:val="11"/>
    <w:qFormat/>
    <w:uiPriority w:val="0"/>
    <w:pPr>
      <w:numPr>
        <w:ilvl w:val="1"/>
        <w:numId w:val="1"/>
      </w:numPr>
      <w:spacing w:before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">
    <w:name w:val="章标题"/>
    <w:next w:val="11"/>
    <w:qFormat/>
    <w:uiPriority w:val="0"/>
    <w:pPr>
      <w:numPr>
        <w:ilvl w:val="0"/>
        <w:numId w:val="1"/>
      </w:numPr>
      <w:spacing w:before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正文表标题"/>
    <w:next w:val="11"/>
    <w:qFormat/>
    <w:uiPriority w:val="0"/>
    <w:pPr>
      <w:tabs>
        <w:tab w:val="left" w:pos="360"/>
      </w:tabs>
      <w:spacing w:before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二级无"/>
    <w:basedOn w:val="15"/>
    <w:qFormat/>
    <w:uiPriority w:val="0"/>
    <w:pPr>
      <w:spacing w:before="50" w:beforeLines="0" w:after="50" w:afterLines="0"/>
    </w:pPr>
    <w:rPr>
      <w:rFonts w:ascii="宋体" w:eastAsia="宋体"/>
    </w:rPr>
  </w:style>
  <w:style w:type="paragraph" w:customStyle="1" w:styleId="15">
    <w:name w:val="二级条标题"/>
    <w:basedOn w:val="10"/>
    <w:next w:val="11"/>
    <w:qFormat/>
    <w:uiPriority w:val="0"/>
    <w:pPr>
      <w:numPr>
        <w:ilvl w:val="2"/>
        <w:numId w:val="1"/>
      </w:numPr>
      <w:spacing w:afterLines="50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2025-11-10T06:48:00Z</dcterms:created>
  <dc:creator>匿名用户</dc:creator>
  <cp:lastModifiedBy>匿名用户</cp:lastModifiedBy>
  <dcterms:modified xsi:type="dcterms:W3CDTF">2025-11-20T02:47:14Z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