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26732">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理化指标、验收标准及合同主要条款</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7555"/>
      </w:tblGrid>
      <w:tr w14:paraId="05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0B0A15FC">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项 目</w:t>
            </w:r>
          </w:p>
        </w:tc>
        <w:tc>
          <w:tcPr>
            <w:tcW w:w="7555" w:type="dxa"/>
            <w:vAlign w:val="center"/>
          </w:tcPr>
          <w:p w14:paraId="3FA850B1">
            <w:pPr>
              <w:keepNext w:val="0"/>
              <w:keepLines w:val="0"/>
              <w:widowControl/>
              <w:suppressLineNumbers w:val="0"/>
              <w:jc w:val="center"/>
              <w:textAlignment w:val="center"/>
              <w:rPr>
                <w:rFonts w:hint="eastAsia" w:ascii="仿宋" w:hAnsi="仿宋" w:eastAsia="仿宋" w:cs="仿宋"/>
                <w:b/>
                <w:bCs/>
                <w:i w:val="0"/>
                <w:iCs w:val="0"/>
                <w:color w:val="000000"/>
                <w:kern w:val="2"/>
                <w:sz w:val="28"/>
                <w:szCs w:val="28"/>
                <w:u w:val="none"/>
                <w:lang w:val="en-US" w:eastAsia="zh-CN" w:bidi="ar-SA"/>
              </w:rPr>
            </w:pPr>
            <w:r>
              <w:rPr>
                <w:rFonts w:hint="eastAsia" w:ascii="仿宋" w:hAnsi="仿宋" w:eastAsia="仿宋" w:cs="仿宋"/>
                <w:b/>
                <w:bCs/>
                <w:i w:val="0"/>
                <w:iCs w:val="0"/>
                <w:color w:val="000000"/>
                <w:kern w:val="0"/>
                <w:sz w:val="28"/>
                <w:szCs w:val="28"/>
                <w:u w:val="none"/>
                <w:lang w:val="en-US" w:eastAsia="zh-CN" w:bidi="ar"/>
              </w:rPr>
              <w:t>主    要    内    容</w:t>
            </w:r>
          </w:p>
        </w:tc>
      </w:tr>
      <w:tr w14:paraId="4D8F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5B1B4487">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理化指标</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及验收标准</w:t>
            </w:r>
          </w:p>
        </w:tc>
        <w:tc>
          <w:tcPr>
            <w:tcW w:w="7555" w:type="dxa"/>
            <w:vAlign w:val="center"/>
          </w:tcPr>
          <w:p w14:paraId="77283980">
            <w:pPr>
              <w:keepNext w:val="0"/>
              <w:keepLines w:val="0"/>
              <w:widowControl/>
              <w:suppressLineNumbers w:val="0"/>
              <w:jc w:val="left"/>
              <w:textAlignment w:val="center"/>
              <w:rPr>
                <w:rFonts w:hint="default" w:ascii="仿宋" w:hAnsi="仿宋" w:eastAsia="仿宋" w:cs="仿宋"/>
                <w:i w:val="0"/>
                <w:iCs w:val="0"/>
                <w:color w:val="000000"/>
                <w:kern w:val="2"/>
                <w:sz w:val="32"/>
                <w:szCs w:val="32"/>
                <w:u w:val="none"/>
                <w:lang w:val="en-US" w:eastAsia="zh-CN" w:bidi="ar-SA"/>
              </w:rPr>
            </w:pPr>
            <w:r>
              <w:rPr>
                <w:rFonts w:hint="eastAsia" w:ascii="仿宋" w:hAnsi="仿宋" w:eastAsia="仿宋" w:cs="仿宋"/>
                <w:i w:val="0"/>
                <w:iCs w:val="0"/>
                <w:color w:val="000000"/>
                <w:kern w:val="0"/>
                <w:sz w:val="28"/>
                <w:szCs w:val="28"/>
                <w:u w:val="none"/>
                <w:lang w:val="en-US" w:eastAsia="zh-CN" w:bidi="ar"/>
              </w:rPr>
              <w:t>物料长短描述仅供参考，技术质量要求按附件1《攀钢集团北海特种铁合金有限公司需求计划及采购质量标准》、附件6《镁砂采购技术要求》和附件7《关于镁火泥质量要求的情况说明》要求执行；所附技术附件（附件6、7）为委托方案的组成部分。</w:t>
            </w:r>
          </w:p>
        </w:tc>
      </w:tr>
      <w:tr w14:paraId="022A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54845F83">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供货要求</w:t>
            </w:r>
          </w:p>
        </w:tc>
        <w:tc>
          <w:tcPr>
            <w:tcW w:w="7555" w:type="dxa"/>
            <w:vAlign w:val="center"/>
          </w:tcPr>
          <w:p w14:paraId="04AB847F">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合同数量为预计数量，具体数量以买方实际需求通知为准，卖方需严格按买方通知的品种、数量、规格、包装、交货地点及运输方式发货（中标后，买方可能因生产计划、产品结构调整、库存等因素，实际发货时间、数量以买方通知为准）。2.交货的每批产品应附有质量证明书，内容包括：生产厂名称和厂址、产品名称和标准号、批量、批号、生产日期、保质期以及本标准规定的各项指标检验结果等。3、卖方发货后，需电话或传真方式通知买方发货时间、车号、品名数量等发货明细。4.若因买方原因需延长交货期的，卖方需提交申请，买方同意后再办理。</w:t>
            </w:r>
          </w:p>
        </w:tc>
      </w:tr>
      <w:tr w14:paraId="5A1F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297C9104">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运输方式、交（提）货地点、收货人及费用负担</w:t>
            </w:r>
          </w:p>
        </w:tc>
        <w:tc>
          <w:tcPr>
            <w:tcW w:w="7555" w:type="dxa"/>
            <w:vAlign w:val="center"/>
          </w:tcPr>
          <w:p w14:paraId="1D0EB34C">
            <w:pPr>
              <w:keepNext w:val="0"/>
              <w:keepLines w:val="0"/>
              <w:widowControl/>
              <w:suppressLineNumbers w:val="0"/>
              <w:jc w:val="left"/>
              <w:textAlignment w:val="center"/>
              <w:rPr>
                <w:rFonts w:hint="eastAsia" w:ascii="仿宋" w:hAnsi="仿宋" w:eastAsia="仿宋" w:cs="仿宋"/>
                <w:i w:val="0"/>
                <w:iCs w:val="0"/>
                <w:color w:val="000000"/>
                <w:kern w:val="2"/>
                <w:sz w:val="32"/>
                <w:szCs w:val="32"/>
                <w:u w:val="none"/>
                <w:lang w:val="en-US" w:eastAsia="zh-CN" w:bidi="ar-SA"/>
              </w:rPr>
            </w:pPr>
            <w:r>
              <w:rPr>
                <w:rStyle w:val="5"/>
                <w:sz w:val="28"/>
                <w:szCs w:val="28"/>
                <w:lang w:val="en-US" w:eastAsia="zh-CN" w:bidi="ar"/>
              </w:rPr>
              <w:t>运输方式及交货地点：以合理运输方式运至买方指定地点。收货人：</w:t>
            </w:r>
            <w:r>
              <w:rPr>
                <w:rStyle w:val="5"/>
                <w:rFonts w:hint="eastAsia"/>
                <w:sz w:val="28"/>
                <w:szCs w:val="28"/>
                <w:lang w:val="en-US" w:eastAsia="zh-CN" w:bidi="ar"/>
              </w:rPr>
              <w:t>攀钢集团北海特种铁合金有限公司</w:t>
            </w:r>
            <w:r>
              <w:rPr>
                <w:rStyle w:val="5"/>
                <w:sz w:val="28"/>
                <w:szCs w:val="28"/>
                <w:lang w:val="en-US" w:eastAsia="zh-CN" w:bidi="ar"/>
              </w:rPr>
              <w:t>。费用负担：运杂费及其他费用均由卖方承担。</w:t>
            </w:r>
          </w:p>
        </w:tc>
      </w:tr>
      <w:tr w14:paraId="77F5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50C70F1F">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合理损耗及</w:t>
            </w:r>
            <w:r>
              <w:rPr>
                <w:rFonts w:hint="eastAsia" w:ascii="仿宋" w:hAnsi="仿宋" w:eastAsia="仿宋" w:cs="仿宋"/>
                <w:i w:val="0"/>
                <w:iCs w:val="0"/>
                <w:color w:val="000000"/>
                <w:kern w:val="0"/>
                <w:sz w:val="28"/>
                <w:szCs w:val="28"/>
                <w:u w:val="none"/>
                <w:lang w:val="en-US" w:eastAsia="zh-CN" w:bidi="ar"/>
              </w:rPr>
              <w:br w:type="textWrapping"/>
            </w:r>
            <w:r>
              <w:rPr>
                <w:rFonts w:hint="eastAsia" w:ascii="仿宋" w:hAnsi="仿宋" w:eastAsia="仿宋" w:cs="仿宋"/>
                <w:i w:val="0"/>
                <w:iCs w:val="0"/>
                <w:color w:val="000000"/>
                <w:kern w:val="0"/>
                <w:sz w:val="28"/>
                <w:szCs w:val="28"/>
                <w:u w:val="none"/>
                <w:lang w:val="en-US" w:eastAsia="zh-CN" w:bidi="ar"/>
              </w:rPr>
              <w:t>计算方法</w:t>
            </w:r>
          </w:p>
        </w:tc>
        <w:tc>
          <w:tcPr>
            <w:tcW w:w="7555" w:type="dxa"/>
            <w:vAlign w:val="center"/>
          </w:tcPr>
          <w:p w14:paraId="1E03B179">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磅差或一切损耗均由卖方承担。</w:t>
            </w:r>
          </w:p>
        </w:tc>
      </w:tr>
      <w:tr w14:paraId="5D96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1EDA580B">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包装要求</w:t>
            </w:r>
          </w:p>
        </w:tc>
        <w:tc>
          <w:tcPr>
            <w:tcW w:w="7555" w:type="dxa"/>
            <w:vAlign w:val="center"/>
          </w:tcPr>
          <w:p w14:paraId="398BC999">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1.包装物上必须清楚注明品名、规格、生产厂家、生产日期等标识。2.包装符合国家安全、环保相关规定。3.包装物不回收，由买方自行处理。</w:t>
            </w:r>
          </w:p>
        </w:tc>
      </w:tr>
      <w:tr w14:paraId="74B4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24861485">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验收及异议处理</w:t>
            </w:r>
          </w:p>
        </w:tc>
        <w:tc>
          <w:tcPr>
            <w:tcW w:w="7555" w:type="dxa"/>
            <w:vAlign w:val="center"/>
          </w:tcPr>
          <w:p w14:paraId="52B630C8">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（一）计质量验收：1.数量验收：以买方计量为准。2.质量验收：以买方验收为准。（二）质量异议处理 ：1.对合同执行过程中出现的质计量异议经双方确认属于卖方的，按照买方质量异议管理办法处理。卖方应在接到买方通知后5天内到交货地点或配合买方处理质量异议，若卖方在5天内未到或不配合视为同意买方认定结果。2.卖方若对买方检验结果有异议,卖方有权提出复验要求,但应在接到通知后5个工作日内向买方书面提出，买方复验结果为最终判定依据。若对买方复验结果仍有异议的，可双方共同取样送至双方认可的第三方进行仲裁，买卖双方签订仲裁协议，对仲裁有关事项进行约定，仲裁结果作为买卖双方结算依据。</w:t>
            </w:r>
          </w:p>
        </w:tc>
      </w:tr>
      <w:tr w14:paraId="3D72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3CFE1C14">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结算与支付</w:t>
            </w:r>
          </w:p>
        </w:tc>
        <w:tc>
          <w:tcPr>
            <w:tcW w:w="7555" w:type="dxa"/>
            <w:vAlign w:val="center"/>
          </w:tcPr>
          <w:p w14:paraId="18028EF0">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以买方的入库数量或功能验收作为结算依据，由买方通知卖方按照买方出具的结算单要求开具增值税发票，一票制结算。2、作扣量、降价处理的，均在结算时扣除；做考核处理的，从应付款中扣除。3.支付方式：货币/承兑汇票</w:t>
            </w:r>
            <w:bookmarkStart w:id="0" w:name="_GoBack"/>
            <w:bookmarkEnd w:id="0"/>
            <w:r>
              <w:rPr>
                <w:rFonts w:hint="eastAsia" w:ascii="仿宋" w:hAnsi="仿宋" w:eastAsia="仿宋" w:cs="仿宋"/>
                <w:i w:val="0"/>
                <w:iCs w:val="0"/>
                <w:color w:val="000000"/>
                <w:kern w:val="0"/>
                <w:sz w:val="28"/>
                <w:szCs w:val="28"/>
                <w:u w:val="none"/>
                <w:lang w:val="en-US" w:eastAsia="zh-CN" w:bidi="ar"/>
              </w:rPr>
              <w:t>；4.付款条件：实行先货后款，以货币/承兑汇票支付；开票挂账确认后3-6个月内付清。</w:t>
            </w:r>
          </w:p>
        </w:tc>
      </w:tr>
      <w:tr w14:paraId="4D62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732EF6E1">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违约责任</w:t>
            </w:r>
          </w:p>
        </w:tc>
        <w:tc>
          <w:tcPr>
            <w:tcW w:w="7555" w:type="dxa"/>
            <w:vAlign w:val="center"/>
          </w:tcPr>
          <w:p w14:paraId="01A7E155">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卖方未履行或擅自更改本合同的内容，应承担违约责任，并按《民法典》及其它法律法规办理。2.产品在使用过程中因卖方质量问题给买方造成经济损失的由卖方负责赔偿。3.当因卖方延迟交货、未交货及交货达不到合同条款的约定、交货产品出现质量异议等违约问题时，买方可通知卖方就违约问题进行书面确认，卖方在买方规定的时间内未予确认的，视为同意买方意见。4.因买方原因不能履行合同或不能完全履行合同，买方全额退还卖方合同履约保证金。5.因卖方原因，合同执行率不满足100%±10%：若单笔合同执行率小于90%时，按照不足部分所占权重，扣除相应额度的合同违约金“合同违约金扣除金额=（合同量-实际供货量）/合同量*合同含税总金额*5%”，若违约从收取的合同履约保证金中扣除。 6.因卖方原因导致延期交货（不可抗力因素和买方要求原因除外），卖方支付违约合同含税金额5%的违约金（取整）。7.对合同履行过程中涉及的异议索赔包括但不限于对履约保证金和质量保证金的扣罚；因供应商原因给冶材公司造成的损失超过保证金数额的，供应商须及时对超过部分予以赔偿，对拒不赔偿的，除按供应商管理相关规定进行处罚外，诉诸法律。</w:t>
            </w:r>
          </w:p>
        </w:tc>
      </w:tr>
      <w:tr w14:paraId="6878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213DF4A3">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解决争议方法</w:t>
            </w:r>
          </w:p>
        </w:tc>
        <w:tc>
          <w:tcPr>
            <w:tcW w:w="7555" w:type="dxa"/>
            <w:vAlign w:val="center"/>
          </w:tcPr>
          <w:p w14:paraId="2B8B47A1">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双方协商解决争议，协商不成的，向合同签订地所在人民法院提起诉讼。</w:t>
            </w:r>
          </w:p>
        </w:tc>
      </w:tr>
      <w:tr w14:paraId="6A49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14:paraId="09488404">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其他约定</w:t>
            </w:r>
          </w:p>
        </w:tc>
        <w:tc>
          <w:tcPr>
            <w:tcW w:w="7555" w:type="dxa"/>
            <w:vAlign w:val="center"/>
          </w:tcPr>
          <w:p w14:paraId="5261CC12">
            <w:pPr>
              <w:keepNext w:val="0"/>
              <w:keepLines w:val="0"/>
              <w:widowControl/>
              <w:suppressLineNumbers w:val="0"/>
              <w:jc w:val="left"/>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1、卖方需按照买方相关规定向买方缴纳保证金，前期已缴纳过保证金的，根据合同金额，不足需补足保证金。2.卖方在价格确定后即进入履约流程。3.卖方所供产品在包装、运输、装卸、现场服务等各环节必须符合国家安全环保相关法律法规规定及攀钢安全环保规章制度。因自身原因或意外导致安全环保事故发生，由卖方自行负责。4.如卖方不能按交货期交货，买方有权要求赔偿或终止合同。5.卖方所供产品若出现知识产权侵权行为，其后果和经济责任全部由卖方承担。6.公路运输须满足交通运输部《超限运输车辆行驶公路管理规定》（2016年第62号令）和GB1589-2016规定。</w:t>
            </w:r>
          </w:p>
        </w:tc>
      </w:tr>
    </w:tbl>
    <w:p w14:paraId="21DD085A">
      <w:pPr>
        <w:rPr>
          <w:rFonts w:hint="eastAsia"/>
        </w:rPr>
      </w:pPr>
    </w:p>
    <w:sectPr>
      <w:pgSz w:w="11906" w:h="16838"/>
      <w:pgMar w:top="2098"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NzE0MzY4ZTY5NjQ5ODdlMTkxNDc3MDM0Yjc1OTAifQ=="/>
  </w:docVars>
  <w:rsids>
    <w:rsidRoot w:val="3F667FFD"/>
    <w:rsid w:val="01F46141"/>
    <w:rsid w:val="042A3D72"/>
    <w:rsid w:val="0E702FCF"/>
    <w:rsid w:val="1E8A5085"/>
    <w:rsid w:val="240B4AE5"/>
    <w:rsid w:val="31335131"/>
    <w:rsid w:val="3F667FFD"/>
    <w:rsid w:val="46856DFA"/>
    <w:rsid w:val="46C33260"/>
    <w:rsid w:val="4DA62EF4"/>
    <w:rsid w:val="4F0D1A3E"/>
    <w:rsid w:val="55F37752"/>
    <w:rsid w:val="59DB084C"/>
    <w:rsid w:val="5C96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autoRedefine/>
    <w:qFormat/>
    <w:uiPriority w:val="0"/>
    <w:rPr>
      <w:rFonts w:hint="eastAsia" w:ascii="仿宋" w:hAnsi="仿宋" w:eastAsia="仿宋" w:cs="仿宋"/>
      <w:color w:val="000000"/>
      <w:sz w:val="20"/>
      <w:szCs w:val="20"/>
      <w:u w:val="none"/>
    </w:rPr>
  </w:style>
  <w:style w:type="character" w:customStyle="1" w:styleId="6">
    <w:name w:val="font21"/>
    <w:basedOn w:val="4"/>
    <w:autoRedefine/>
    <w:qFormat/>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1702</Words>
  <Characters>1751</Characters>
  <Lines>0</Lines>
  <Paragraphs>0</Paragraphs>
  <TotalTime>30</TotalTime>
  <ScaleCrop>false</ScaleCrop>
  <LinksUpToDate>false</LinksUpToDate>
  <CharactersWithSpaces>1766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2023-10-26T10:01:00Z</dcterms:created>
  <dc:creator>永远的流星剑</dc:creator>
  <cp:lastModifiedBy>admin</cp:lastModifiedBy>
  <dcterms:modified xsi:type="dcterms:W3CDTF">2026-05-27T07:15:24Z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C0158D2B81FB4CDAA1DCFB64005BACCF_13</vt:lpwstr>
  </property>
  <property fmtid="{D5CDD505-2E9C-101B-9397-08002B2CF9AE}" pid="4" name="KSOTemplateDocerSaveRecord">
    <vt:lpwstr>eyJoZGlkIjoiMmEzNzE0MzY4ZTY5NjQ5ODdlMTkxNDc3MDM0Yjc1OTAiLCJ1c2VySWQiOiI5NjE0Njg0NDcifQ==</vt:lpwstr>
  </property>
</Properties>
</file>